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EA6048">
              <w:rPr>
                <w:rFonts w:ascii="Times New Roman" w:eastAsia="Times New Roman" w:hAnsi="Times New Roman"/>
                <w:color w:val="000000"/>
                <w:sz w:val="24"/>
                <w:szCs w:val="24"/>
                <w:lang w:eastAsia="ar-SA"/>
              </w:rPr>
              <w:t>35</w:t>
            </w:r>
            <w:r w:rsidRPr="00C31FA9">
              <w:rPr>
                <w:rFonts w:ascii="Times New Roman" w:eastAsia="Times New Roman" w:hAnsi="Times New Roman"/>
                <w:color w:val="000000"/>
                <w:sz w:val="24"/>
                <w:szCs w:val="24"/>
                <w:lang w:eastAsia="ar-SA"/>
              </w:rPr>
              <w:t xml:space="preserve"> от «</w:t>
            </w:r>
            <w:r w:rsidR="00CB216C" w:rsidRPr="00CB216C">
              <w:rPr>
                <w:rFonts w:ascii="Times New Roman" w:eastAsia="Times New Roman" w:hAnsi="Times New Roman"/>
                <w:color w:val="000000"/>
                <w:sz w:val="24"/>
                <w:szCs w:val="24"/>
                <w:lang w:eastAsia="ar-SA"/>
              </w:rPr>
              <w:t>3</w:t>
            </w:r>
            <w:r w:rsidR="00EA6048">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EA6048">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CB216C" w:rsidRPr="00EA6048">
              <w:rPr>
                <w:rFonts w:ascii="Times New Roman" w:eastAsia="Times New Roman" w:hAnsi="Times New Roman"/>
                <w:color w:val="000000"/>
                <w:sz w:val="24"/>
                <w:szCs w:val="24"/>
                <w:lang w:eastAsia="ar-SA"/>
              </w:rPr>
              <w:t>3</w:t>
            </w:r>
            <w:r w:rsidR="00EA6048">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EA6048">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Открытого паевого инвестиционного фонда рыночных финансовых инструментов «Базовые отрасли - акции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 xml:space="preserve">Изложить Правила определения стоимости чистых активов Открытого паевого инвестиционного фонда рыночных финансовых инструментов «Базовые отрасли - акции» с </w:t>
      </w:r>
      <w:r w:rsidR="00EA6048">
        <w:rPr>
          <w:rFonts w:ascii="Times New Roman" w:hAnsi="Times New Roman"/>
          <w:sz w:val="24"/>
          <w:szCs w:val="24"/>
        </w:rPr>
        <w:t>1</w:t>
      </w:r>
      <w:r w:rsidRPr="00C31FA9">
        <w:rPr>
          <w:rFonts w:ascii="Times New Roman" w:hAnsi="Times New Roman"/>
          <w:sz w:val="24"/>
          <w:szCs w:val="24"/>
        </w:rPr>
        <w:t xml:space="preserve">1 </w:t>
      </w:r>
      <w:r w:rsidR="00EA6048">
        <w:rPr>
          <w:rFonts w:ascii="Times New Roman" w:hAnsi="Times New Roman"/>
          <w:sz w:val="24"/>
          <w:szCs w:val="24"/>
        </w:rPr>
        <w:t>ноября</w:t>
      </w:r>
      <w:r w:rsidRPr="00C31FA9">
        <w:rPr>
          <w:rFonts w:ascii="Times New Roman" w:hAnsi="Times New Roman"/>
          <w:sz w:val="24"/>
          <w:szCs w:val="24"/>
        </w:rPr>
        <w:t xml:space="preserve">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«Базовые отрасли - акции»</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«Базовые отрасли – акции»</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EA6048">
        <w:rPr>
          <w:rFonts w:ascii="Times New Roman" w:hAnsi="Times New Roman"/>
        </w:rPr>
        <w:t>1</w:t>
      </w:r>
      <w:r w:rsidR="00C31FA9" w:rsidRPr="00C31FA9">
        <w:rPr>
          <w:rFonts w:ascii="Times New Roman" w:hAnsi="Times New Roman"/>
        </w:rPr>
        <w:t xml:space="preserve">1» </w:t>
      </w:r>
      <w:r w:rsidR="00EA6048">
        <w:rPr>
          <w:rFonts w:ascii="Times New Roman" w:hAnsi="Times New Roman"/>
        </w:rPr>
        <w:t>ноября</w:t>
      </w:r>
      <w:r w:rsidR="00C31FA9" w:rsidRPr="00C31FA9">
        <w:rPr>
          <w:rFonts w:ascii="Times New Roman" w:hAnsi="Times New Roman"/>
        </w:rPr>
        <w:t xml:space="preserve">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D15608" w:rsidRDefault="00D15608" w:rsidP="00D15608">
      <w:pPr>
        <w:pStyle w:val="ac"/>
        <w:numPr>
          <w:ilvl w:val="0"/>
          <w:numId w:val="59"/>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15608">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D15608" w:rsidP="00D15608">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009B63C4" w:rsidRPr="00C31FA9">
        <w:rPr>
          <w:rFonts w:ascii="Times New Roman" w:hAnsi="Times New Roman"/>
          <w:b/>
        </w:rPr>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4052299"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4052300"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4052301"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4052302"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4052303"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4052304"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4052305"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4052306"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4052307"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4052308"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4052309"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2" type="#_x0000_t75" style="width:53.25pt;height:31.5pt" o:ole="">
                  <v:imagedata r:id="rId36" o:title=""/>
                </v:shape>
                <o:OLEObject Type="Embed" ProgID="Equation.3" ShapeID="_x0000_i1072" DrawAspect="Content" ObjectID="_1634052310" r:id="rId37"/>
              </w:object>
            </m:r>
          </m:e>
        </m:d>
      </m:oMath>
      <w:r w:rsidRPr="00C31FA9">
        <w:rPr>
          <w:rFonts w:ascii="Times New Roman" w:hAnsi="Times New Roman"/>
        </w:rPr>
        <w:t xml:space="preserve">   не окр</w:t>
      </w:r>
      <w:proofErr w:type="spellStart"/>
      <w:r w:rsidRPr="00C31FA9">
        <w:rPr>
          <w:rFonts w:ascii="Times New Roman" w:hAnsi="Times New Roman"/>
        </w:rPr>
        <w:t>угляется</w:t>
      </w:r>
      <w:proofErr w:type="spellEnd"/>
      <w:r w:rsidRPr="00C31FA9">
        <w:rPr>
          <w:rFonts w:ascii="Times New Roman" w:hAnsi="Times New Roman"/>
        </w:rPr>
        <w:t>.</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34052311"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34052312"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34052313"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34052314"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34052315"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34052316"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34052317"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34052318"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4052319"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4052320"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34052321"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34052322"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34052323"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34052324"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34052325"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34052326"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34052327"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34052328"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34052329"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34052330"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34052331"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4052332"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34052333"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4052334"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34052335"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34052336"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34052337"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34052338"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34052339"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3" type="#_x0000_t75" style="width:133.5pt;height:63.75pt" o:ole="">
                  <v:imagedata r:id="rId82" o:title=""/>
                </v:shape>
                <o:OLEObject Type="Embed" ProgID="Equation.3" ShapeID="_x0000_i1073" DrawAspect="Content" ObjectID="_1634052340"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34052341"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34052342"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13068C" w:rsidRPr="00C31FA9" w:rsidTr="00BE23DE">
        <w:trPr>
          <w:trHeight w:val="1971"/>
        </w:trPr>
        <w:tc>
          <w:tcPr>
            <w:tcW w:w="2943" w:type="dxa"/>
          </w:tcPr>
          <w:p w:rsidR="0013068C" w:rsidRPr="00C31FA9" w:rsidRDefault="0013068C"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C31FA9" w:rsidRDefault="0013068C"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C31FA9" w:rsidRDefault="006A7978" w:rsidP="00C02F52">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4B6CDE" w:rsidRPr="00C31FA9" w:rsidRDefault="00C02F52" w:rsidP="004B6CDE">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6A7978" w:rsidRPr="00C31FA9" w:rsidRDefault="006A7978" w:rsidP="00D41B68">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C31FA9" w:rsidTr="00702539">
        <w:tc>
          <w:tcPr>
            <w:tcW w:w="2935" w:type="dxa"/>
          </w:tcPr>
          <w:p w:rsidR="00C02F52" w:rsidRPr="00C31FA9" w:rsidRDefault="00C02F52"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02F52" w:rsidRPr="00C31FA9" w:rsidRDefault="00C02F52" w:rsidP="00C02F52">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02F52" w:rsidRPr="00C31FA9" w:rsidRDefault="00C02F52" w:rsidP="00C02F52">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C31FA9" w:rsidRDefault="00C02F52" w:rsidP="002E4D78">
            <w:pPr>
              <w:pStyle w:val="ac"/>
              <w:spacing w:after="0" w:line="240" w:lineRule="auto"/>
              <w:ind w:left="0" w:firstLine="466"/>
              <w:jc w:val="both"/>
              <w:rPr>
                <w:rFonts w:ascii="Times New Roman" w:hAnsi="Times New Roman"/>
                <w:sz w:val="20"/>
                <w:szCs w:val="20"/>
              </w:rPr>
            </w:pPr>
          </w:p>
        </w:tc>
      </w:tr>
      <w:tr w:rsidR="00C40786" w:rsidRPr="00C31FA9" w:rsidTr="00702539">
        <w:tc>
          <w:tcPr>
            <w:tcW w:w="13646" w:type="dxa"/>
            <w:gridSpan w:val="2"/>
            <w:tcBorders>
              <w:left w:val="nil"/>
              <w:bottom w:val="single" w:sz="4" w:space="0" w:color="auto"/>
              <w:right w:val="nil"/>
            </w:tcBorders>
          </w:tcPr>
          <w:p w:rsidR="00287E9E" w:rsidRPr="00C31FA9" w:rsidRDefault="00287E9E" w:rsidP="002E4D78">
            <w:pPr>
              <w:spacing w:after="0"/>
              <w:jc w:val="center"/>
              <w:rPr>
                <w:rFonts w:ascii="Times New Roman" w:hAnsi="Times New Roman"/>
                <w:bCs/>
                <w:i/>
                <w:iCs/>
                <w:color w:val="943634" w:themeColor="accent2" w:themeShade="BF"/>
                <w:sz w:val="20"/>
                <w:szCs w:val="20"/>
              </w:rPr>
            </w:pPr>
          </w:p>
          <w:p w:rsidR="00E43660" w:rsidRPr="00C31FA9" w:rsidRDefault="00C40786"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40786" w:rsidRPr="00C31FA9" w:rsidRDefault="00E43660"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w:t>
            </w:r>
            <w:r w:rsidR="00A24B40" w:rsidRPr="00C31FA9">
              <w:rPr>
                <w:rFonts w:ascii="Times New Roman" w:hAnsi="Times New Roman"/>
                <w:bCs/>
                <w:i/>
                <w:iCs/>
                <w:color w:val="943634" w:themeColor="accent2" w:themeShade="BF"/>
                <w:sz w:val="20"/>
                <w:szCs w:val="20"/>
              </w:rPr>
              <w:t>1-го уровня</w:t>
            </w:r>
            <w:r w:rsidRPr="00C31FA9">
              <w:rPr>
                <w:rFonts w:ascii="Times New Roman" w:hAnsi="Times New Roman"/>
                <w:bCs/>
                <w:i/>
                <w:iCs/>
                <w:color w:val="943634" w:themeColor="accent2" w:themeShade="BF"/>
                <w:sz w:val="20"/>
                <w:szCs w:val="20"/>
              </w:rPr>
              <w:t xml:space="preserve"> </w:t>
            </w:r>
            <w:r w:rsidR="008C7EA6" w:rsidRPr="00C31FA9">
              <w:rPr>
                <w:rFonts w:ascii="Times New Roman" w:hAnsi="Times New Roman"/>
                <w:bCs/>
                <w:i/>
                <w:iCs/>
                <w:color w:val="943634" w:themeColor="accent2" w:themeShade="BF"/>
                <w:sz w:val="20"/>
                <w:szCs w:val="20"/>
              </w:rPr>
              <w:t xml:space="preserve"> (2-й уровень)</w:t>
            </w:r>
          </w:p>
        </w:tc>
      </w:tr>
      <w:tr w:rsidR="00EF342F" w:rsidRPr="00C31FA9" w:rsidTr="00702539">
        <w:tc>
          <w:tcPr>
            <w:tcW w:w="2935"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777B4B" w:rsidRPr="00C31FA9" w:rsidRDefault="00204C4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w:t>
            </w:r>
            <w:r w:rsidR="005B3EA6" w:rsidRPr="00C31FA9">
              <w:rPr>
                <w:rFonts w:ascii="Times New Roman" w:eastAsia="Times New Roman" w:hAnsi="Times New Roman"/>
                <w:color w:val="000000"/>
                <w:sz w:val="20"/>
                <w:szCs w:val="20"/>
                <w:lang w:eastAsia="ru-RU"/>
              </w:rPr>
              <w:t xml:space="preserve"> ипотечных сертификатов участия</w:t>
            </w:r>
            <w:r w:rsidR="00E264DA" w:rsidRPr="00C31FA9">
              <w:rPr>
                <w:rFonts w:ascii="Times New Roman" w:eastAsia="Times New Roman" w:hAnsi="Times New Roman"/>
                <w:color w:val="000000"/>
                <w:sz w:val="20"/>
                <w:szCs w:val="20"/>
                <w:lang w:eastAsia="ru-RU"/>
              </w:rPr>
              <w:t>, депозитарных расписок</w:t>
            </w:r>
            <w:r w:rsidRPr="00C31FA9">
              <w:rPr>
                <w:rFonts w:ascii="Times New Roman" w:eastAsia="Times New Roman" w:hAnsi="Times New Roman"/>
                <w:color w:val="000000"/>
                <w:sz w:val="20"/>
                <w:szCs w:val="20"/>
                <w:lang w:eastAsia="ru-RU"/>
              </w:rPr>
              <w:t>)</w:t>
            </w:r>
          </w:p>
          <w:p w:rsidR="00204C4D" w:rsidRPr="00C31FA9" w:rsidRDefault="00204C4D">
            <w:pPr>
              <w:spacing w:after="0" w:line="240" w:lineRule="auto"/>
              <w:ind w:left="66"/>
              <w:jc w:val="both"/>
              <w:rPr>
                <w:rFonts w:ascii="Times New Roman" w:eastAsia="Times New Roman" w:hAnsi="Times New Roman"/>
                <w:color w:val="000000"/>
                <w:sz w:val="20"/>
                <w:szCs w:val="20"/>
                <w:lang w:eastAsia="ru-RU"/>
              </w:rPr>
            </w:pPr>
          </w:p>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иностранного эмитента</w:t>
            </w:r>
            <w:r w:rsidR="00E264DA" w:rsidRPr="00C31FA9">
              <w:rPr>
                <w:rFonts w:ascii="Times New Roman" w:eastAsia="Times New Roman" w:hAnsi="Times New Roman"/>
                <w:color w:val="000000"/>
                <w:sz w:val="20"/>
                <w:szCs w:val="20"/>
                <w:lang w:eastAsia="ru-RU"/>
              </w:rPr>
              <w:t xml:space="preserve"> </w:t>
            </w:r>
            <w:r w:rsidR="007A70AC">
              <w:rPr>
                <w:rFonts w:ascii="Times New Roman" w:eastAsia="Times New Roman" w:hAnsi="Times New Roman"/>
                <w:color w:val="000000"/>
                <w:sz w:val="20"/>
                <w:szCs w:val="20"/>
                <w:lang w:eastAsia="ru-RU"/>
              </w:rPr>
              <w:t xml:space="preserve">(Кроме </w:t>
            </w:r>
            <w:r w:rsidR="007A70AC">
              <w:rPr>
                <w:rFonts w:ascii="Times New Roman" w:hAnsi="Times New Roman"/>
                <w:sz w:val="20"/>
                <w:szCs w:val="20"/>
              </w:rPr>
              <w:t xml:space="preserve">Ценных </w:t>
            </w:r>
            <w:r w:rsidR="007A70AC" w:rsidRPr="00C31FA9">
              <w:rPr>
                <w:rFonts w:ascii="Times New Roman" w:hAnsi="Times New Roman"/>
                <w:sz w:val="20"/>
                <w:szCs w:val="20"/>
              </w:rPr>
              <w:t>бумаг международн</w:t>
            </w:r>
            <w:r w:rsidR="007A70AC">
              <w:rPr>
                <w:rFonts w:ascii="Times New Roman" w:hAnsi="Times New Roman"/>
                <w:sz w:val="20"/>
                <w:szCs w:val="20"/>
              </w:rPr>
              <w:t xml:space="preserve">ых </w:t>
            </w:r>
            <w:r w:rsidR="007A70AC" w:rsidRPr="00C31FA9">
              <w:rPr>
                <w:rFonts w:ascii="Times New Roman" w:hAnsi="Times New Roman"/>
                <w:sz w:val="20"/>
                <w:szCs w:val="20"/>
              </w:rPr>
              <w:t>финансов</w:t>
            </w:r>
            <w:r w:rsidR="007A70AC">
              <w:rPr>
                <w:rFonts w:ascii="Times New Roman" w:hAnsi="Times New Roman"/>
                <w:sz w:val="20"/>
                <w:szCs w:val="20"/>
              </w:rPr>
              <w:t>ых</w:t>
            </w:r>
            <w:r w:rsidR="007A70AC" w:rsidRPr="00C31FA9">
              <w:rPr>
                <w:rFonts w:ascii="Times New Roman" w:hAnsi="Times New Roman"/>
                <w:sz w:val="20"/>
                <w:szCs w:val="20"/>
              </w:rPr>
              <w:t xml:space="preserve"> организаци</w:t>
            </w:r>
            <w:r w:rsidR="007A70AC">
              <w:rPr>
                <w:rFonts w:ascii="Times New Roman" w:hAnsi="Times New Roman"/>
                <w:sz w:val="20"/>
                <w:szCs w:val="20"/>
              </w:rPr>
              <w:t xml:space="preserve">й) </w:t>
            </w: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574104" w:rsidRPr="00C31FA9" w:rsidRDefault="00082D9E"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C31FA9">
              <w:rPr>
                <w:rFonts w:ascii="Times New Roman" w:eastAsia="Times New Roman" w:hAnsi="Times New Roman"/>
                <w:color w:val="000000"/>
                <w:sz w:val="20"/>
                <w:szCs w:val="20"/>
                <w:lang w:eastAsia="ru-RU"/>
              </w:rPr>
              <w:t xml:space="preserve"> (модель CAPM)</w:t>
            </w:r>
            <w:r w:rsidRPr="00C31FA9">
              <w:rPr>
                <w:rFonts w:ascii="Times New Roman" w:eastAsia="Times New Roman" w:hAnsi="Times New Roman"/>
                <w:color w:val="000000"/>
                <w:sz w:val="20"/>
                <w:szCs w:val="20"/>
                <w:lang w:eastAsia="ru-RU"/>
              </w:rPr>
              <w:t xml:space="preserve">. </w:t>
            </w:r>
          </w:p>
          <w:p w:rsidR="00C56722"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sidRPr="00C31FA9">
              <w:rPr>
                <w:rFonts w:ascii="Times New Roman" w:eastAsia="Times New Roman" w:hAnsi="Times New Roman"/>
                <w:color w:val="000000"/>
                <w:sz w:val="20"/>
                <w:szCs w:val="20"/>
                <w:lang w:eastAsia="ru-RU"/>
              </w:rPr>
              <w:t xml:space="preserve"> используется</w:t>
            </w:r>
            <w:r w:rsidRPr="00C31FA9">
              <w:rPr>
                <w:rFonts w:ascii="Times New Roman" w:eastAsia="Times New Roman" w:hAnsi="Times New Roman"/>
                <w:color w:val="000000"/>
                <w:sz w:val="20"/>
                <w:szCs w:val="20"/>
                <w:lang w:eastAsia="ru-RU"/>
              </w:rPr>
              <w:t xml:space="preserve"> 3 уровень</w:t>
            </w:r>
            <w:r w:rsidR="00803591" w:rsidRPr="00C31FA9">
              <w:rPr>
                <w:rFonts w:ascii="Times New Roman" w:eastAsia="Times New Roman" w:hAnsi="Times New Roman"/>
                <w:color w:val="000000"/>
                <w:sz w:val="20"/>
                <w:szCs w:val="20"/>
                <w:lang w:eastAsia="ru-RU"/>
              </w:rPr>
              <w:t xml:space="preserve"> оценки</w:t>
            </w:r>
            <w:r w:rsidRPr="00C31FA9">
              <w:rPr>
                <w:rFonts w:ascii="Times New Roman" w:eastAsia="Times New Roman" w:hAnsi="Times New Roman"/>
                <w:color w:val="000000"/>
                <w:sz w:val="20"/>
                <w:szCs w:val="20"/>
                <w:lang w:eastAsia="ru-RU"/>
              </w:rPr>
              <w:t>)</w:t>
            </w:r>
            <w:r w:rsidR="00EC32FF" w:rsidRPr="00C31FA9">
              <w:rPr>
                <w:rFonts w:ascii="Times New Roman" w:eastAsia="Times New Roman" w:hAnsi="Times New Roman"/>
                <w:color w:val="000000"/>
                <w:sz w:val="20"/>
                <w:szCs w:val="20"/>
                <w:lang w:eastAsia="ru-RU"/>
              </w:rPr>
              <w:t>.</w:t>
            </w:r>
          </w:p>
          <w:p w:rsidR="002E39B0"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 xml:space="preserve">В качестве </w:t>
            </w:r>
            <w:r w:rsidR="002E39B0" w:rsidRPr="00C31FA9">
              <w:rPr>
                <w:rFonts w:ascii="Times New Roman" w:eastAsia="Times New Roman" w:hAnsi="Times New Roman"/>
                <w:color w:val="000000"/>
                <w:sz w:val="20"/>
                <w:szCs w:val="20"/>
                <w:lang w:eastAsia="ru-RU"/>
              </w:rPr>
              <w:t xml:space="preserve">рыночного </w:t>
            </w:r>
            <w:r w:rsidRPr="00C31FA9">
              <w:rPr>
                <w:rFonts w:ascii="Times New Roman" w:eastAsia="Times New Roman" w:hAnsi="Times New Roman"/>
                <w:color w:val="000000"/>
                <w:sz w:val="20"/>
                <w:szCs w:val="20"/>
                <w:lang w:eastAsia="ru-RU"/>
              </w:rPr>
              <w:t>индикатор</w:t>
            </w:r>
            <w:r w:rsidR="002E39B0" w:rsidRPr="00C31FA9">
              <w:rPr>
                <w:rFonts w:ascii="Times New Roman" w:eastAsia="Times New Roman" w:hAnsi="Times New Roman"/>
                <w:color w:val="000000"/>
                <w:sz w:val="20"/>
                <w:szCs w:val="20"/>
                <w:lang w:eastAsia="ru-RU"/>
              </w:rPr>
              <w:t>а</w:t>
            </w:r>
            <w:r w:rsidR="00E12E3B" w:rsidRPr="00C31FA9">
              <w:rPr>
                <w:rFonts w:ascii="Times New Roman" w:eastAsia="Times New Roman" w:hAnsi="Times New Roman"/>
                <w:color w:val="000000"/>
                <w:sz w:val="20"/>
                <w:szCs w:val="20"/>
                <w:lang w:eastAsia="ru-RU"/>
              </w:rPr>
              <w:t xml:space="preserve"> (</w:t>
            </w:r>
            <w:proofErr w:type="spellStart"/>
            <w:r w:rsidR="00E12E3B" w:rsidRPr="00C31FA9">
              <w:rPr>
                <w:rFonts w:ascii="Times New Roman" w:eastAsia="Times New Roman" w:hAnsi="Times New Roman"/>
                <w:color w:val="000000"/>
                <w:sz w:val="20"/>
                <w:szCs w:val="20"/>
                <w:lang w:eastAsia="ru-RU"/>
              </w:rPr>
              <w:t>бенчмарка</w:t>
            </w:r>
            <w:proofErr w:type="spellEnd"/>
            <w:r w:rsidR="00E12E3B" w:rsidRPr="00C31FA9">
              <w:rPr>
                <w:rFonts w:ascii="Times New Roman" w:eastAsia="Times New Roman" w:hAnsi="Times New Roman"/>
                <w:color w:val="000000"/>
                <w:sz w:val="20"/>
                <w:szCs w:val="20"/>
                <w:lang w:eastAsia="ru-RU"/>
              </w:rPr>
              <w:t xml:space="preserve">) </w:t>
            </w:r>
            <w:r w:rsidR="002E39B0" w:rsidRPr="00C31FA9">
              <w:rPr>
                <w:rFonts w:ascii="Times New Roman" w:eastAsia="Times New Roman" w:hAnsi="Times New Roman"/>
                <w:color w:val="000000"/>
                <w:sz w:val="20"/>
                <w:szCs w:val="20"/>
                <w:lang w:eastAsia="ru-RU"/>
              </w:rPr>
              <w:t xml:space="preserve"> </w:t>
            </w:r>
            <w:r w:rsidR="004D5244" w:rsidRPr="00C31FA9">
              <w:rPr>
                <w:rFonts w:ascii="Times New Roman" w:eastAsia="Times New Roman" w:hAnsi="Times New Roman"/>
                <w:color w:val="000000"/>
                <w:sz w:val="20"/>
                <w:szCs w:val="20"/>
                <w:lang w:eastAsia="ru-RU"/>
              </w:rPr>
              <w:t>акций российских эмитентов</w:t>
            </w:r>
            <w:r w:rsidR="00692B04" w:rsidRPr="00C31FA9">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 xml:space="preserve"> использ</w:t>
            </w:r>
            <w:r w:rsidR="002E39B0" w:rsidRPr="00C31FA9">
              <w:rPr>
                <w:rFonts w:ascii="Times New Roman" w:eastAsia="Times New Roman" w:hAnsi="Times New Roman"/>
                <w:color w:val="000000"/>
                <w:sz w:val="20"/>
                <w:szCs w:val="20"/>
                <w:lang w:eastAsia="ru-RU"/>
              </w:rPr>
              <w:t>уется  индекс Московской Биржи (IMOEX).</w:t>
            </w:r>
          </w:p>
          <w:p w:rsidR="00C61D92" w:rsidRPr="00C31FA9" w:rsidRDefault="00692B04"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EB544F" w:rsidRPr="00C31FA9" w:rsidRDefault="00082D9E"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r>
            <w:r w:rsidR="00EB544F" w:rsidRPr="00C31FA9">
              <w:rPr>
                <w:rFonts w:ascii="Times New Roman" w:eastAsia="Times New Roman" w:hAnsi="Times New Roman"/>
                <w:color w:val="000000"/>
                <w:sz w:val="20"/>
                <w:szCs w:val="20"/>
                <w:lang w:eastAsia="ru-RU"/>
              </w:rPr>
              <w:t>Формула расчета справедливой стоимости на дату расчета:</w:t>
            </w:r>
            <w:r w:rsidR="00EB544F" w:rsidRPr="00C31FA9">
              <w:rPr>
                <w:rFonts w:ascii="Times New Roman" w:eastAsia="Times New Roman" w:hAnsi="Times New Roman"/>
                <w:color w:val="000000"/>
                <w:sz w:val="20"/>
                <w:szCs w:val="20"/>
                <w:lang w:eastAsia="ru-RU"/>
              </w:rPr>
              <w:br/>
            </w:r>
          </w:p>
          <w:p w:rsidR="00803591" w:rsidRPr="00C31FA9" w:rsidRDefault="00772B26"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03591" w:rsidRPr="00C31FA9">
              <w:rPr>
                <w:rFonts w:ascii="Times New Roman" w:eastAsia="Times New Roman" w:hAnsi="Times New Roman"/>
                <w:color w:val="000000"/>
                <w:sz w:val="20"/>
                <w:szCs w:val="20"/>
                <w:lang w:eastAsia="ru-RU"/>
              </w:rPr>
              <w:t xml:space="preserve">, </w:t>
            </w:r>
          </w:p>
          <w:p w:rsidR="00EB544F" w:rsidRPr="00C31FA9" w:rsidRDefault="00803591"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803591" w:rsidRPr="00C31FA9" w:rsidRDefault="00772B2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803591" w:rsidRPr="00C31FA9" w:rsidRDefault="00772B2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803591" w:rsidRPr="00C31FA9" w:rsidRDefault="00803591"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803591" w:rsidRPr="00C31FA9">
              <w:rPr>
                <w:rFonts w:ascii="Times New Roman" w:eastAsia="Times New Roman" w:hAnsi="Times New Roman"/>
                <w:color w:val="000000"/>
                <w:sz w:val="20"/>
                <w:szCs w:val="20"/>
                <w:lang w:eastAsia="ru-RU"/>
              </w:rPr>
              <w:t>, где</w:t>
            </w:r>
          </w:p>
          <w:p w:rsidR="00803591" w:rsidRPr="00C31FA9" w:rsidRDefault="00803591" w:rsidP="00D41AF4">
            <w:pPr>
              <w:spacing w:after="0"/>
              <w:jc w:val="center"/>
              <w:rPr>
                <w:rFonts w:ascii="Times New Roman" w:eastAsia="Times New Roman" w:hAnsi="Times New Roman"/>
                <w:color w:val="000000"/>
                <w:sz w:val="20"/>
                <w:szCs w:val="20"/>
                <w:lang w:eastAsia="ru-RU"/>
              </w:rPr>
            </w:pPr>
          </w:p>
          <w:p w:rsidR="00D4503D" w:rsidRPr="00C31FA9" w:rsidRDefault="00772B26"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D4503D" w:rsidRPr="00C31FA9" w:rsidRDefault="00772B26"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w:t>
            </w:r>
          </w:p>
          <w:p w:rsidR="00D4503D" w:rsidRPr="00C31FA9" w:rsidRDefault="00D4503D"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D4503D" w:rsidRPr="00C31FA9" w:rsidRDefault="00772B26"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364E7B" w:rsidRPr="00C31FA9" w:rsidRDefault="00364E7B" w:rsidP="00364E7B">
            <w:pPr>
              <w:spacing w:after="0"/>
              <w:ind w:firstLine="360"/>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364E7B" w:rsidRPr="00C31FA9" w:rsidRDefault="00364E7B"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D4503D" w:rsidRPr="00C31FA9" w:rsidRDefault="00D4503D" w:rsidP="00803591">
            <w:pPr>
              <w:spacing w:after="0"/>
              <w:rPr>
                <w:rFonts w:ascii="Times New Roman" w:eastAsia="Times New Roman" w:hAnsi="Times New Roman"/>
                <w:color w:val="000000"/>
                <w:sz w:val="20"/>
                <w:szCs w:val="20"/>
                <w:lang w:eastAsia="ru-RU"/>
              </w:rPr>
            </w:pP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803591" w:rsidRPr="00C31FA9" w:rsidRDefault="00772B2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03591" w:rsidRPr="00C31FA9">
              <w:rPr>
                <w:rFonts w:ascii="Times New Roman" w:eastAsia="Times New Roman" w:hAnsi="Times New Roman"/>
                <w:color w:val="000000"/>
                <w:sz w:val="20"/>
                <w:szCs w:val="20"/>
                <w:lang w:eastAsia="ru-RU"/>
              </w:rPr>
              <w:t xml:space="preserve"> - доходность рыночного индикатора;</w:t>
            </w:r>
          </w:p>
          <w:p w:rsidR="00803591" w:rsidRPr="00C31FA9" w:rsidRDefault="00772B26"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sidRPr="00C31FA9">
              <w:rPr>
                <w:rFonts w:ascii="Times New Roman" w:eastAsia="Times New Roman" w:hAnsi="Times New Roman"/>
                <w:color w:val="000000"/>
                <w:sz w:val="20"/>
                <w:szCs w:val="20"/>
                <w:lang w:eastAsia="ru-RU"/>
              </w:rPr>
              <w:t>,</w:t>
            </w:r>
          </w:p>
          <w:p w:rsidR="00803591" w:rsidRPr="00C31FA9" w:rsidRDefault="00772B2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803591" w:rsidRPr="00C31FA9" w:rsidRDefault="00772B26"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C31FA9" w:rsidRDefault="00D4503D"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72B26"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C31FA9">
              <w:rPr>
                <w:rFonts w:ascii="Times New Roman" w:eastAsia="Times New Roman" w:hAnsi="Times New Roman"/>
                <w:color w:val="000000"/>
                <w:sz w:val="20"/>
                <w:szCs w:val="20"/>
                <w:lang w:eastAsia="ru-RU"/>
              </w:rPr>
              <w:t xml:space="preserve"> - доходность актива;</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предыдущая цена закрытия актива;</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C31FA9">
              <w:rPr>
                <w:rFonts w:ascii="Times New Roman" w:eastAsia="Times New Roman" w:hAnsi="Times New Roman"/>
                <w:color w:val="000000"/>
                <w:sz w:val="20"/>
                <w:szCs w:val="20"/>
                <w:lang w:eastAsia="ru-RU"/>
              </w:rPr>
              <w:t xml:space="preserve"> - доходность рыночного индикатора;</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72B26"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364E7B" w:rsidRPr="00C31FA9" w:rsidRDefault="00364E7B" w:rsidP="00364E7B">
            <w:pPr>
              <w:spacing w:after="0"/>
              <w:jc w:val="both"/>
              <w:rPr>
                <w:rFonts w:ascii="Times New Roman" w:eastAsia="Times New Roman" w:hAnsi="Times New Roman"/>
                <w:color w:val="000000"/>
                <w:sz w:val="20"/>
                <w:szCs w:val="20"/>
                <w:lang w:eastAsia="ru-RU"/>
              </w:rPr>
            </w:pPr>
          </w:p>
          <w:p w:rsidR="00364E7B" w:rsidRPr="00C31FA9" w:rsidRDefault="00364E7B"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364E7B" w:rsidRPr="00C31FA9" w:rsidRDefault="00364E7B"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EB544F" w:rsidRPr="00C31FA9" w:rsidRDefault="00EB544F" w:rsidP="00364E7B">
            <w:pPr>
              <w:spacing w:after="0"/>
              <w:jc w:val="both"/>
              <w:rPr>
                <w:rFonts w:ascii="Times New Roman" w:eastAsia="Times New Roman" w:hAnsi="Times New Roman"/>
                <w:color w:val="000000"/>
                <w:sz w:val="20"/>
                <w:szCs w:val="20"/>
                <w:lang w:eastAsia="ru-RU"/>
              </w:rPr>
            </w:pPr>
          </w:p>
          <w:p w:rsidR="00D134F1" w:rsidRPr="00C31FA9" w:rsidRDefault="00921B43"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C31FA9">
              <w:rPr>
                <w:rFonts w:ascii="Times New Roman" w:eastAsia="Times New Roman" w:hAnsi="Times New Roman"/>
                <w:color w:val="000000"/>
                <w:sz w:val="20"/>
                <w:szCs w:val="20"/>
                <w:lang w:eastAsia="ru-RU"/>
              </w:rPr>
              <w:t xml:space="preserve"> </w:t>
            </w:r>
          </w:p>
          <w:p w:rsidR="00667DFC" w:rsidRPr="00C31FA9" w:rsidRDefault="00667DFC"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372044" w:rsidRPr="00C31FA9" w:rsidRDefault="00372044"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372044" w:rsidRPr="00C31FA9" w:rsidRDefault="00372044" w:rsidP="00921B43">
            <w:pPr>
              <w:spacing w:after="0"/>
              <w:ind w:left="360"/>
              <w:jc w:val="both"/>
              <w:rPr>
                <w:rFonts w:ascii="Times New Roman" w:eastAsia="Times New Roman" w:hAnsi="Times New Roman"/>
                <w:color w:val="000000"/>
                <w:sz w:val="20"/>
                <w:szCs w:val="20"/>
                <w:lang w:eastAsia="ru-RU"/>
              </w:rPr>
            </w:pPr>
          </w:p>
          <w:p w:rsidR="00A77892" w:rsidRPr="00C31FA9" w:rsidRDefault="00A77892"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A77892" w:rsidRPr="00C31FA9" w:rsidRDefault="00A77892"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913FC5" w:rsidRPr="00C31FA9" w:rsidRDefault="00082D9E"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 xml:space="preserve">Для </w:t>
            </w:r>
            <w:r w:rsidR="002B5A4B" w:rsidRPr="00C31FA9">
              <w:rPr>
                <w:rFonts w:ascii="Times New Roman" w:eastAsia="Times New Roman" w:hAnsi="Times New Roman"/>
                <w:color w:val="000000"/>
                <w:sz w:val="20"/>
                <w:szCs w:val="20"/>
                <w:lang w:eastAsia="ru-RU"/>
              </w:rPr>
              <w:t>определения справедливой стоимости</w:t>
            </w:r>
            <w:r w:rsidR="002B5A4B" w:rsidRPr="00C31FA9">
              <w:rPr>
                <w:rFonts w:ascii="Times New Roman" w:eastAsia="Times New Roman" w:hAnsi="Times New Roman"/>
                <w:b/>
                <w:color w:val="000000"/>
                <w:sz w:val="20"/>
                <w:szCs w:val="20"/>
                <w:lang w:eastAsia="ru-RU"/>
              </w:rPr>
              <w:t xml:space="preserve"> </w:t>
            </w:r>
            <w:r w:rsidRPr="00C31FA9">
              <w:rPr>
                <w:rFonts w:ascii="Times New Roman" w:eastAsia="Times New Roman" w:hAnsi="Times New Roman"/>
                <w:b/>
                <w:color w:val="000000"/>
                <w:sz w:val="20"/>
                <w:szCs w:val="20"/>
                <w:lang w:eastAsia="ru-RU"/>
              </w:rPr>
              <w:t>облигаций российских эмитентов</w:t>
            </w:r>
            <w:r w:rsidR="002B5A4B" w:rsidRPr="00C31FA9">
              <w:rPr>
                <w:rFonts w:ascii="Times New Roman" w:eastAsia="Times New Roman" w:hAnsi="Times New Roman"/>
                <w:color w:val="000000"/>
                <w:sz w:val="20"/>
                <w:szCs w:val="20"/>
                <w:lang w:eastAsia="ru-RU"/>
              </w:rPr>
              <w:t>, а так же</w:t>
            </w:r>
            <w:r w:rsidR="002B5A4B" w:rsidRPr="00C31FA9">
              <w:rPr>
                <w:rFonts w:ascii="Times New Roman" w:eastAsia="Times New Roman" w:hAnsi="Times New Roman"/>
                <w:b/>
                <w:color w:val="000000"/>
                <w:sz w:val="20"/>
                <w:szCs w:val="20"/>
                <w:lang w:eastAsia="ru-RU"/>
              </w:rPr>
              <w:t xml:space="preserve"> облигаций, </w:t>
            </w:r>
            <w:proofErr w:type="gramStart"/>
            <w:r w:rsidR="002B5A4B" w:rsidRPr="00C31FA9">
              <w:rPr>
                <w:rFonts w:ascii="Times New Roman" w:eastAsia="Times New Roman" w:hAnsi="Times New Roman"/>
                <w:b/>
                <w:color w:val="000000"/>
                <w:sz w:val="20"/>
                <w:szCs w:val="20"/>
                <w:lang w:eastAsia="ru-RU"/>
              </w:rPr>
              <w:t>номинированный</w:t>
            </w:r>
            <w:proofErr w:type="gramEnd"/>
            <w:r w:rsidR="002B5A4B" w:rsidRPr="00C31FA9">
              <w:rPr>
                <w:rFonts w:ascii="Times New Roman" w:eastAsia="Times New Roman" w:hAnsi="Times New Roman"/>
                <w:b/>
                <w:color w:val="000000"/>
                <w:sz w:val="20"/>
                <w:szCs w:val="20"/>
                <w:lang w:eastAsia="ru-RU"/>
              </w:rPr>
              <w:t xml:space="preserve"> в рублях, </w:t>
            </w:r>
            <w:r w:rsidR="002B5A4B" w:rsidRPr="00C31FA9">
              <w:rPr>
                <w:rFonts w:ascii="Times New Roman" w:eastAsia="Times New Roman" w:hAnsi="Times New Roman"/>
                <w:color w:val="000000"/>
                <w:sz w:val="20"/>
                <w:szCs w:val="20"/>
                <w:lang w:eastAsia="ru-RU"/>
              </w:rPr>
              <w:t>используются следующие цены</w:t>
            </w:r>
            <w:r w:rsidRPr="00C31FA9">
              <w:rPr>
                <w:rFonts w:ascii="Times New Roman" w:eastAsia="Times New Roman" w:hAnsi="Times New Roman"/>
                <w:color w:val="000000"/>
                <w:sz w:val="20"/>
                <w:szCs w:val="20"/>
                <w:lang w:eastAsia="ru-RU"/>
              </w:rPr>
              <w:t xml:space="preserve"> в порядке убывания приоритета: </w:t>
            </w:r>
          </w:p>
          <w:p w:rsidR="00777B4B" w:rsidRPr="00C31FA9"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w:t>
            </w:r>
            <w:r w:rsidR="008B048D" w:rsidRPr="00C31FA9">
              <w:rPr>
                <w:rFonts w:ascii="Times New Roman" w:eastAsia="Times New Roman" w:hAnsi="Times New Roman"/>
                <w:color w:val="000000"/>
                <w:sz w:val="20"/>
                <w:szCs w:val="20"/>
                <w:lang w:eastAsia="ru-RU"/>
              </w:rPr>
              <w:t>Ценовым центром НРД</w:t>
            </w:r>
            <w:r w:rsidR="00DC0DDB" w:rsidRPr="00C31FA9">
              <w:rPr>
                <w:rFonts w:ascii="Times New Roman" w:eastAsia="Times New Roman" w:hAnsi="Times New Roman"/>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C31FA9">
              <w:rPr>
                <w:rFonts w:ascii="Times New Roman" w:eastAsia="Times New Roman" w:hAnsi="Times New Roman"/>
                <w:color w:val="000000"/>
                <w:sz w:val="20"/>
                <w:szCs w:val="20"/>
                <w:lang w:eastAsia="ru-RU"/>
              </w:rPr>
              <w:t xml:space="preserve"> </w:t>
            </w:r>
            <w:r w:rsidR="005E32E0" w:rsidRPr="00C31FA9">
              <w:rPr>
                <w:rFonts w:ascii="Times New Roman" w:eastAsia="Times New Roman" w:hAnsi="Times New Roman"/>
                <w:color w:val="000000"/>
                <w:sz w:val="20"/>
                <w:szCs w:val="20"/>
                <w:lang w:eastAsia="ru-RU"/>
              </w:rPr>
              <w:t xml:space="preserve"> (приоритет отдается ценам, определенным по последней утвержденной методике</w:t>
            </w:r>
            <w:r w:rsidR="00FA4A96" w:rsidRPr="00C31FA9">
              <w:rPr>
                <w:rFonts w:ascii="Times New Roman" w:eastAsia="Times New Roman" w:hAnsi="Times New Roman"/>
                <w:color w:val="000000"/>
                <w:sz w:val="20"/>
                <w:szCs w:val="20"/>
                <w:lang w:eastAsia="ru-RU"/>
              </w:rPr>
              <w:t xml:space="preserve"> оценки</w:t>
            </w:r>
            <w:r w:rsidR="005E32E0" w:rsidRPr="00C31FA9">
              <w:rPr>
                <w:rFonts w:ascii="Times New Roman" w:eastAsia="Times New Roman" w:hAnsi="Times New Roman"/>
                <w:color w:val="000000"/>
                <w:sz w:val="20"/>
                <w:szCs w:val="20"/>
                <w:lang w:eastAsia="ru-RU"/>
              </w:rPr>
              <w:t>)</w:t>
            </w:r>
            <w:r w:rsidR="00FA4A96" w:rsidRPr="00C31FA9">
              <w:rPr>
                <w:rFonts w:ascii="Times New Roman" w:eastAsia="Times New Roman" w:hAnsi="Times New Roman"/>
                <w:color w:val="000000"/>
                <w:sz w:val="20"/>
                <w:szCs w:val="20"/>
                <w:lang w:eastAsia="ru-RU"/>
              </w:rPr>
              <w:t>;</w:t>
            </w:r>
          </w:p>
          <w:p w:rsidR="007A70AC"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w:t>
            </w:r>
            <w:r w:rsidR="00513A89" w:rsidRPr="00C31FA9">
              <w:rPr>
                <w:rFonts w:ascii="Times New Roman" w:eastAsia="Times New Roman" w:hAnsi="Times New Roman"/>
                <w:color w:val="000000"/>
                <w:sz w:val="20"/>
                <w:szCs w:val="20"/>
                <w:lang w:eastAsia="ru-RU"/>
              </w:rPr>
              <w:t xml:space="preserve"> для ценных бумаг, номинированных в рублях</w:t>
            </w:r>
            <w:r w:rsidR="003E63DE">
              <w:rPr>
                <w:rFonts w:ascii="Times New Roman" w:eastAsia="Times New Roman" w:hAnsi="Times New Roman"/>
                <w:color w:val="000000"/>
                <w:sz w:val="20"/>
                <w:szCs w:val="20"/>
                <w:lang w:eastAsia="ru-RU"/>
              </w:rPr>
              <w:t xml:space="preserve"> в </w:t>
            </w:r>
            <w:r w:rsidR="002467DD">
              <w:rPr>
                <w:rFonts w:ascii="Times New Roman" w:eastAsia="Times New Roman" w:hAnsi="Times New Roman"/>
                <w:color w:val="000000"/>
                <w:sz w:val="20"/>
                <w:szCs w:val="20"/>
                <w:lang w:eastAsia="ru-RU"/>
              </w:rPr>
              <w:t xml:space="preserve">соответствии с </w:t>
            </w:r>
            <w:r w:rsidR="003E63DE">
              <w:rPr>
                <w:rFonts w:ascii="Times New Roman" w:eastAsia="Times New Roman" w:hAnsi="Times New Roman"/>
                <w:color w:val="000000"/>
                <w:sz w:val="20"/>
                <w:szCs w:val="20"/>
                <w:lang w:eastAsia="ru-RU"/>
              </w:rPr>
              <w:t>Приложе</w:t>
            </w:r>
            <w:r w:rsidR="002467DD">
              <w:rPr>
                <w:rFonts w:ascii="Times New Roman" w:eastAsia="Times New Roman" w:hAnsi="Times New Roman"/>
                <w:color w:val="000000"/>
                <w:sz w:val="20"/>
                <w:szCs w:val="20"/>
                <w:lang w:eastAsia="ru-RU"/>
              </w:rPr>
              <w:t>нием</w:t>
            </w:r>
            <w:r w:rsidR="003E63DE">
              <w:rPr>
                <w:rFonts w:ascii="Times New Roman" w:eastAsia="Times New Roman" w:hAnsi="Times New Roman"/>
                <w:color w:val="000000"/>
                <w:sz w:val="20"/>
                <w:szCs w:val="20"/>
                <w:lang w:eastAsia="ru-RU"/>
              </w:rPr>
              <w:t xml:space="preserve"> 1</w:t>
            </w:r>
            <w:r w:rsidR="002467DD">
              <w:rPr>
                <w:rFonts w:ascii="Times New Roman" w:eastAsia="Times New Roman" w:hAnsi="Times New Roman"/>
                <w:color w:val="000000"/>
                <w:sz w:val="20"/>
                <w:szCs w:val="20"/>
                <w:lang w:eastAsia="ru-RU"/>
              </w:rPr>
              <w:t>8</w:t>
            </w:r>
            <w:r w:rsidR="003E63DE">
              <w:rPr>
                <w:rFonts w:ascii="Times New Roman" w:eastAsia="Times New Roman" w:hAnsi="Times New Roman"/>
                <w:color w:val="000000"/>
                <w:sz w:val="20"/>
                <w:szCs w:val="20"/>
                <w:lang w:eastAsia="ru-RU"/>
              </w:rPr>
              <w:t>.</w:t>
            </w:r>
          </w:p>
          <w:p w:rsidR="008B048D" w:rsidRPr="007D2025" w:rsidRDefault="007A70AC" w:rsidP="007D2025">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w:t>
            </w:r>
            <w:r w:rsidR="001D1E33" w:rsidRPr="00C31FA9">
              <w:rPr>
                <w:rFonts w:ascii="Times New Roman" w:eastAsia="Times New Roman" w:hAnsi="Times New Roman"/>
                <w:color w:val="000000"/>
                <w:sz w:val="20"/>
                <w:szCs w:val="20"/>
                <w:lang w:eastAsia="ru-RU"/>
              </w:rPr>
              <w:t xml:space="preserve">При отсутствии  необходимых данных для расчета стоимости, справедливая </w:t>
            </w:r>
            <w:r w:rsidR="00324B7E" w:rsidRPr="00C31FA9">
              <w:rPr>
                <w:rFonts w:ascii="Times New Roman" w:eastAsia="Times New Roman" w:hAnsi="Times New Roman"/>
                <w:color w:val="000000"/>
                <w:sz w:val="20"/>
                <w:szCs w:val="20"/>
                <w:lang w:eastAsia="ru-RU"/>
              </w:rPr>
              <w:t xml:space="preserve">стоимость </w:t>
            </w:r>
            <w:r w:rsidR="001D1E33" w:rsidRPr="00C31FA9">
              <w:rPr>
                <w:rFonts w:ascii="Times New Roman" w:eastAsia="Times New Roman" w:hAnsi="Times New Roman"/>
                <w:color w:val="000000"/>
                <w:sz w:val="20"/>
                <w:szCs w:val="20"/>
                <w:lang w:eastAsia="ru-RU"/>
              </w:rPr>
              <w:t>определяется на 3-м уровне оценки.</w:t>
            </w:r>
          </w:p>
        </w:tc>
      </w:tr>
      <w:tr w:rsidR="008E40EB" w:rsidRPr="00C31FA9" w:rsidTr="00702539">
        <w:tc>
          <w:tcPr>
            <w:tcW w:w="2935" w:type="dxa"/>
          </w:tcPr>
          <w:p w:rsidR="008E40EB" w:rsidRPr="00C31FA9" w:rsidRDefault="008E40EB"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8E40EB" w:rsidRPr="008E40EB" w:rsidRDefault="008E40EB" w:rsidP="008E40EB">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8E40EB" w:rsidRPr="00C31FA9" w:rsidRDefault="008E40EB" w:rsidP="008E40EB">
            <w:pPr>
              <w:pStyle w:val="ac"/>
              <w:spacing w:after="0" w:line="240" w:lineRule="auto"/>
              <w:ind w:left="0" w:firstLine="466"/>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C31FA9" w:rsidRDefault="008E40EB" w:rsidP="002E4D78">
            <w:pPr>
              <w:pStyle w:val="ac"/>
              <w:spacing w:after="0"/>
              <w:ind w:left="0"/>
              <w:jc w:val="both"/>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8E40EB" w:rsidRPr="00C31FA9" w:rsidRDefault="008E40EB"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E40EB" w:rsidRPr="00C31FA9" w:rsidTr="00CA3418">
        <w:trPr>
          <w:trHeight w:val="1498"/>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8E40EB" w:rsidRPr="00C31FA9" w:rsidRDefault="008E40EB"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8E40EB" w:rsidRPr="00C31FA9" w:rsidTr="00702539">
        <w:tc>
          <w:tcPr>
            <w:tcW w:w="13646" w:type="dxa"/>
            <w:gridSpan w:val="2"/>
            <w:tcBorders>
              <w:left w:val="nil"/>
              <w:bottom w:val="single" w:sz="4" w:space="0" w:color="auto"/>
              <w:right w:val="nil"/>
            </w:tcBorders>
          </w:tcPr>
          <w:p w:rsidR="008E40EB" w:rsidRPr="00C31FA9" w:rsidRDefault="008E40EB" w:rsidP="002E4D78">
            <w:pPr>
              <w:spacing w:after="0"/>
              <w:jc w:val="center"/>
              <w:rPr>
                <w:rFonts w:ascii="Times New Roman" w:hAnsi="Times New Roman"/>
                <w:bCs/>
                <w:i/>
                <w:iCs/>
                <w:color w:val="943634" w:themeColor="accent2" w:themeShade="BF"/>
                <w:sz w:val="20"/>
                <w:szCs w:val="20"/>
              </w:rPr>
            </w:pPr>
          </w:p>
          <w:p w:rsidR="008E40EB" w:rsidRPr="00C31FA9" w:rsidRDefault="008E40EB"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8E40EB" w:rsidRPr="00C31FA9" w:rsidTr="00702539">
        <w:tc>
          <w:tcPr>
            <w:tcW w:w="2935"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Tr="00702539">
        <w:tc>
          <w:tcPr>
            <w:tcW w:w="2935" w:type="dxa"/>
          </w:tcPr>
          <w:p w:rsidR="008E40EB" w:rsidRPr="00C31FA9" w:rsidRDefault="008E40EB"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8E40EB" w:rsidRPr="00C31FA9" w:rsidRDefault="008E40EB">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8E40EB" w:rsidRPr="00C31FA9" w:rsidTr="00EF342F">
        <w:tc>
          <w:tcPr>
            <w:tcW w:w="2935" w:type="dxa"/>
            <w:tcBorders>
              <w:bottom w:val="single" w:sz="4" w:space="0" w:color="auto"/>
            </w:tcBorders>
          </w:tcPr>
          <w:p w:rsidR="008E40EB" w:rsidRPr="00C31FA9" w:rsidRDefault="008E40EB"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8E40EB" w:rsidRDefault="008E40EB"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8E40EB" w:rsidRPr="00C31FA9" w:rsidRDefault="008E40EB"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8E40EB"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8E40EB" w:rsidRPr="00C31FA9" w:rsidRDefault="008E40EB" w:rsidP="002E4D78">
            <w:pPr>
              <w:pStyle w:val="ac"/>
              <w:spacing w:after="0"/>
              <w:ind w:left="0"/>
              <w:jc w:val="center"/>
              <w:rPr>
                <w:rFonts w:ascii="Times New Roman" w:hAnsi="Times New Roman"/>
                <w:bCs/>
                <w:i/>
                <w:iCs/>
                <w:color w:val="943634" w:themeColor="accent2" w:themeShade="BF"/>
                <w:sz w:val="20"/>
                <w:szCs w:val="20"/>
              </w:rPr>
            </w:pPr>
          </w:p>
          <w:p w:rsidR="008E40EB" w:rsidRPr="00C31FA9" w:rsidRDefault="008E40EB"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8E40EB" w:rsidRPr="00C31FA9" w:rsidDel="00F42424" w:rsidTr="00EF342F">
        <w:tc>
          <w:tcPr>
            <w:tcW w:w="2935"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Del="00F42424" w:rsidTr="00702539">
        <w:tc>
          <w:tcPr>
            <w:tcW w:w="2935" w:type="dxa"/>
          </w:tcPr>
          <w:p w:rsidR="008E40EB" w:rsidRPr="00C31FA9" w:rsidDel="00F42424" w:rsidRDefault="008E40EB"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p>
          <w:p w:rsidR="008E40EB" w:rsidRPr="00C31FA9" w:rsidDel="00F42424" w:rsidRDefault="008E40EB"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8E40EB" w:rsidRPr="00C31FA9" w:rsidDel="00F42424" w:rsidRDefault="008E40EB" w:rsidP="00BB0FBC">
            <w:pPr>
              <w:spacing w:after="0" w:line="240" w:lineRule="auto"/>
              <w:ind w:left="34"/>
              <w:jc w:val="both"/>
              <w:rPr>
                <w:rFonts w:ascii="Times New Roman" w:hAnsi="Times New Roman"/>
                <w:sz w:val="20"/>
                <w:szCs w:val="20"/>
              </w:rPr>
            </w:pPr>
          </w:p>
        </w:tc>
      </w:tr>
      <w:tr w:rsidR="008E40EB" w:rsidRPr="00C31FA9" w:rsidDel="00F42424" w:rsidTr="00702539">
        <w:tc>
          <w:tcPr>
            <w:tcW w:w="2935" w:type="dxa"/>
          </w:tcPr>
          <w:p w:rsidR="008E40EB" w:rsidRPr="00C31FA9" w:rsidDel="00F42424" w:rsidRDefault="008E40EB"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8E40EB" w:rsidRPr="00C31FA9" w:rsidRDefault="008E40EB"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8E40EB" w:rsidRPr="00C31FA9" w:rsidDel="00F42424" w:rsidRDefault="008E40EB"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8E40EB" w:rsidRPr="00C31FA9" w:rsidDel="00F42424" w:rsidRDefault="008E40EB"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8E40EB" w:rsidRPr="00C31FA9" w:rsidDel="00F42424"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8E40EB" w:rsidRPr="00C31FA9" w:rsidDel="00F42424" w:rsidRDefault="008E40EB"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3"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3"/>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34052343"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34052344"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34052345"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4"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4"/>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121F9" w:rsidRDefault="003121F9" w:rsidP="003121F9">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772B26"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772B26"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772B26"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772B26"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772B26"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772B26"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772B26"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772B26"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772B26"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72B26"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72B26"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772B26"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772B26"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772B2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772B2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34052346"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772B2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772B26"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772B26"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314FB7" w:rsidRPr="001918CF" w:rsidRDefault="00314FB7" w:rsidP="001918CF">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314FB7" w:rsidRPr="00D165D1" w:rsidTr="005E571C">
        <w:trPr>
          <w:trHeight w:val="932"/>
        </w:trPr>
        <w:tc>
          <w:tcPr>
            <w:tcW w:w="3096"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314FB7" w:rsidRPr="00D165D1" w:rsidRDefault="00314FB7" w:rsidP="005E571C">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314FB7" w:rsidRPr="00D165D1" w:rsidRDefault="00314FB7" w:rsidP="005E571C">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314FB7" w:rsidRPr="00D165D1" w:rsidTr="005E571C">
        <w:trPr>
          <w:trHeight w:val="833"/>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314FB7" w:rsidRPr="00D165D1" w:rsidRDefault="00314FB7" w:rsidP="005E571C">
            <w:pPr>
              <w:spacing w:line="360" w:lineRule="auto"/>
              <w:jc w:val="right"/>
              <w:rPr>
                <w:rFonts w:ascii="Times New Roman" w:hAnsi="Times New Roman"/>
                <w:sz w:val="20"/>
                <w:szCs w:val="20"/>
              </w:rPr>
            </w:pPr>
          </w:p>
          <w:p w:rsidR="00314FB7" w:rsidRPr="00D165D1" w:rsidRDefault="00314FB7" w:rsidP="005E571C">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r>
      <w:tr w:rsidR="00314FB7" w:rsidRPr="00D165D1" w:rsidTr="005E571C">
        <w:trPr>
          <w:trHeight w:val="919"/>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r>
      <w:tr w:rsidR="00314FB7" w:rsidRPr="00D165D1" w:rsidTr="005E571C">
        <w:trPr>
          <w:trHeight w:val="835"/>
        </w:trPr>
        <w:tc>
          <w:tcPr>
            <w:tcW w:w="3096"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314FB7" w:rsidRPr="00D165D1" w:rsidRDefault="00314FB7" w:rsidP="005E571C">
            <w:pPr>
              <w:jc w:val="center"/>
              <w:rPr>
                <w:rFonts w:ascii="Times New Roman" w:hAnsi="Times New Roman"/>
                <w:sz w:val="20"/>
                <w:szCs w:val="20"/>
              </w:rPr>
            </w:pP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r>
      <w:tr w:rsidR="00314FB7" w:rsidRPr="00D165D1" w:rsidTr="005E571C">
        <w:trPr>
          <w:trHeight w:val="204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 xml:space="preserve"> 0,01</w:t>
            </w:r>
          </w:p>
        </w:tc>
      </w:tr>
      <w:tr w:rsidR="00314FB7" w:rsidRPr="00D165D1" w:rsidTr="005E571C">
        <w:trPr>
          <w:trHeight w:val="1734"/>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r>
      <w:tr w:rsidR="00314FB7" w:rsidRPr="00D165D1" w:rsidTr="005E571C">
        <w:trPr>
          <w:trHeight w:val="106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r>
      <w:tr w:rsidR="00314FB7" w:rsidRPr="00D165D1" w:rsidTr="005E571C">
        <w:trPr>
          <w:trHeight w:val="920"/>
        </w:trPr>
        <w:tc>
          <w:tcPr>
            <w:tcW w:w="3096"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314FB7" w:rsidRPr="00D165D1" w:rsidTr="005E571C">
        <w:trPr>
          <w:trHeight w:val="1417"/>
        </w:trPr>
        <w:tc>
          <w:tcPr>
            <w:tcW w:w="2235"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314FB7" w:rsidRPr="00D165D1" w:rsidRDefault="00314FB7" w:rsidP="005E571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314FB7" w:rsidRPr="00D165D1" w:rsidTr="005E571C">
        <w:trPr>
          <w:trHeight w:val="1220"/>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1305"/>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1072"/>
        </w:trPr>
        <w:tc>
          <w:tcPr>
            <w:tcW w:w="2235" w:type="dxa"/>
            <w:shd w:val="clear" w:color="auto" w:fill="auto"/>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314FB7" w:rsidRPr="00D165D1" w:rsidRDefault="00314FB7" w:rsidP="005E571C">
            <w:pPr>
              <w:jc w:val="center"/>
              <w:rPr>
                <w:rFonts w:ascii="Times New Roman" w:hAnsi="Times New Roman"/>
                <w:sz w:val="20"/>
                <w:szCs w:val="20"/>
                <w:lang w:val="en-US"/>
              </w:rPr>
            </w:pPr>
            <w:r w:rsidRPr="00D165D1">
              <w:rPr>
                <w:rFonts w:ascii="Times New Roman" w:hAnsi="Times New Roman"/>
                <w:sz w:val="20"/>
                <w:szCs w:val="20"/>
                <w:lang w:val="en-US"/>
              </w:rPr>
              <w:t>1</w:t>
            </w:r>
          </w:p>
          <w:p w:rsidR="00314FB7" w:rsidRPr="00D165D1" w:rsidRDefault="00314FB7" w:rsidP="005E571C">
            <w:pPr>
              <w:jc w:val="center"/>
              <w:rPr>
                <w:rFonts w:ascii="Times New Roman" w:hAnsi="Times New Roman"/>
                <w:sz w:val="20"/>
                <w:szCs w:val="20"/>
                <w:lang w:val="en-US"/>
              </w:rPr>
            </w:pPr>
          </w:p>
        </w:tc>
      </w:tr>
      <w:tr w:rsidR="00314FB7" w:rsidRPr="00D165D1" w:rsidTr="005E571C">
        <w:trPr>
          <w:trHeight w:val="2022"/>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p w:rsidR="00314FB7" w:rsidRPr="00D165D1" w:rsidRDefault="00314FB7" w:rsidP="005E571C">
            <w:pPr>
              <w:jc w:val="center"/>
              <w:rPr>
                <w:rFonts w:ascii="Times New Roman" w:hAnsi="Times New Roman"/>
                <w:sz w:val="20"/>
                <w:szCs w:val="20"/>
              </w:rPr>
            </w:pP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1719"/>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1051"/>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r w:rsidR="00314FB7" w:rsidRPr="00D165D1" w:rsidTr="005E571C">
        <w:trPr>
          <w:trHeight w:val="912"/>
        </w:trPr>
        <w:tc>
          <w:tcPr>
            <w:tcW w:w="2235" w:type="dxa"/>
            <w:shd w:val="clear" w:color="auto" w:fill="auto"/>
            <w:hideMark/>
          </w:tcPr>
          <w:p w:rsidR="00314FB7" w:rsidRPr="00D165D1" w:rsidRDefault="00314FB7" w:rsidP="005E571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314FB7" w:rsidRPr="00D165D1" w:rsidRDefault="00314FB7" w:rsidP="001918CF">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314FB7" w:rsidRPr="00D165D1" w:rsidRDefault="00314FB7" w:rsidP="005E571C">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772B26"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772B26"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772B26"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E20755"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E20755">
              <w:rPr>
                <w:rFonts w:ascii="Times New Roman" w:eastAsia="Times New Roman" w:hAnsi="Times New Roman"/>
                <w:bCs/>
                <w:color w:val="000000"/>
                <w:sz w:val="20"/>
                <w:szCs w:val="20"/>
                <w:lang w:eastAsia="ru-RU"/>
              </w:rPr>
              <w:t>й</w:t>
            </w:r>
            <w:r w:rsidRPr="00E20755">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 xml:space="preserve">если срок погашения </w:t>
            </w:r>
            <w:r w:rsidR="00470876" w:rsidRPr="00E20755">
              <w:rPr>
                <w:rFonts w:ascii="Times New Roman" w:eastAsia="Times New Roman" w:hAnsi="Times New Roman"/>
                <w:bCs/>
                <w:color w:val="000000"/>
                <w:sz w:val="20"/>
                <w:szCs w:val="20"/>
                <w:lang w:eastAsia="ru-RU"/>
              </w:rPr>
              <w:t xml:space="preserve">вклада </w:t>
            </w:r>
            <w:r w:rsidRPr="00E20755">
              <w:rPr>
                <w:rFonts w:ascii="Times New Roman" w:eastAsia="Times New Roman" w:hAnsi="Times New Roman"/>
                <w:bCs/>
                <w:color w:val="000000"/>
                <w:sz w:val="20"/>
                <w:szCs w:val="20"/>
                <w:lang w:eastAsia="ru-RU"/>
              </w:rPr>
              <w:t>«до востребования»;</w:t>
            </w:r>
          </w:p>
          <w:p w:rsidR="003121F9" w:rsidRPr="00E20755"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E614F4" w:rsidRPr="00E20755"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w:t>
            </w:r>
            <w:r w:rsidR="00622B62" w:rsidRPr="00E20755">
              <w:rPr>
                <w:rFonts w:ascii="Times New Roman" w:eastAsia="Times New Roman" w:hAnsi="Times New Roman"/>
                <w:bCs/>
                <w:color w:val="000000"/>
                <w:sz w:val="20"/>
                <w:szCs w:val="20"/>
                <w:lang w:eastAsia="ru-RU"/>
              </w:rPr>
              <w:t>,</w:t>
            </w:r>
            <w:r w:rsidR="00A40EC9"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определенной с использованием</w:t>
            </w:r>
            <w:r w:rsidR="00C74B50" w:rsidRPr="00E20755">
              <w:rPr>
                <w:rFonts w:ascii="Times New Roman" w:eastAsia="Times New Roman" w:hAnsi="Times New Roman"/>
                <w:bCs/>
                <w:color w:val="000000"/>
                <w:sz w:val="20"/>
                <w:szCs w:val="20"/>
                <w:lang w:eastAsia="ru-RU"/>
              </w:rPr>
              <w:t xml:space="preserve"> </w:t>
            </w:r>
            <w:r w:rsidR="00990A52" w:rsidRPr="00E20755">
              <w:rPr>
                <w:rFonts w:ascii="Times New Roman" w:eastAsia="Times New Roman" w:hAnsi="Times New Roman"/>
                <w:bCs/>
                <w:color w:val="000000"/>
                <w:sz w:val="20"/>
                <w:szCs w:val="20"/>
                <w:lang w:eastAsia="ru-RU"/>
              </w:rPr>
              <w:t>метод</w:t>
            </w:r>
            <w:r w:rsidR="00C74B50" w:rsidRPr="00E20755">
              <w:rPr>
                <w:rFonts w:ascii="Times New Roman" w:eastAsia="Times New Roman" w:hAnsi="Times New Roman"/>
                <w:bCs/>
                <w:color w:val="000000"/>
                <w:sz w:val="20"/>
                <w:szCs w:val="20"/>
                <w:lang w:eastAsia="ru-RU"/>
              </w:rPr>
              <w:t>а</w:t>
            </w:r>
            <w:r w:rsidR="00990A52" w:rsidRPr="00E20755">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E20755">
              <w:rPr>
                <w:rFonts w:ascii="Times New Roman" w:eastAsia="Times New Roman" w:hAnsi="Times New Roman"/>
                <w:bCs/>
                <w:color w:val="000000"/>
                <w:sz w:val="20"/>
                <w:szCs w:val="20"/>
                <w:lang w:eastAsia="ru-RU"/>
              </w:rPr>
              <w:t>на весь срок вклада</w:t>
            </w:r>
            <w:r w:rsidR="00DD793E" w:rsidRPr="00E20755">
              <w:rPr>
                <w:rFonts w:ascii="Times New Roman" w:eastAsia="Times New Roman" w:hAnsi="Times New Roman"/>
                <w:bCs/>
                <w:color w:val="000000"/>
                <w:sz w:val="20"/>
                <w:szCs w:val="20"/>
                <w:lang w:eastAsia="ru-RU"/>
              </w:rPr>
              <w:t xml:space="preserve"> </w:t>
            </w:r>
            <w:r w:rsidR="00990A52" w:rsidRPr="00E20755">
              <w:rPr>
                <w:rFonts w:ascii="Times New Roman" w:eastAsia="Times New Roman" w:hAnsi="Times New Roman"/>
                <w:bCs/>
                <w:color w:val="000000"/>
                <w:sz w:val="20"/>
                <w:szCs w:val="20"/>
                <w:lang w:eastAsia="ru-RU"/>
              </w:rPr>
              <w:t>(</w:t>
            </w:r>
            <w:hyperlink w:anchor="приложение_5" w:history="1">
              <w:r w:rsidR="00990A52" w:rsidRPr="00E20755">
                <w:rPr>
                  <w:rFonts w:ascii="Times New Roman" w:eastAsia="Times New Roman" w:hAnsi="Times New Roman"/>
                  <w:bCs/>
                  <w:color w:val="000000"/>
                  <w:sz w:val="20"/>
                  <w:szCs w:val="20"/>
                  <w:lang w:eastAsia="ru-RU"/>
                </w:rPr>
                <w:t>Приложение 5</w:t>
              </w:r>
            </w:hyperlink>
            <w:r w:rsidR="00990A52" w:rsidRPr="00E20755">
              <w:rPr>
                <w:rFonts w:ascii="Times New Roman" w:eastAsia="Times New Roman" w:hAnsi="Times New Roman"/>
                <w:bCs/>
                <w:color w:val="000000"/>
                <w:sz w:val="20"/>
                <w:szCs w:val="20"/>
                <w:lang w:eastAsia="ru-RU"/>
              </w:rPr>
              <w:t>)</w:t>
            </w:r>
            <w:r w:rsidR="0002211F"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в иных случаях</w:t>
            </w:r>
            <w:r w:rsidR="00C12E8A" w:rsidRPr="00E20755">
              <w:rPr>
                <w:rFonts w:ascii="Times New Roman" w:eastAsia="Times New Roman" w:hAnsi="Times New Roman"/>
                <w:bCs/>
                <w:color w:val="000000"/>
                <w:sz w:val="20"/>
                <w:szCs w:val="20"/>
                <w:lang w:eastAsia="ru-RU"/>
              </w:rPr>
              <w:t>.</w:t>
            </w:r>
            <w:r w:rsidR="00D830D3" w:rsidRPr="00E20755">
              <w:rPr>
                <w:rFonts w:ascii="Times New Roman" w:eastAsia="Times New Roman" w:hAnsi="Times New Roman"/>
                <w:bCs/>
                <w:color w:val="000000"/>
                <w:sz w:val="20"/>
                <w:szCs w:val="20"/>
                <w:lang w:eastAsia="ru-RU"/>
              </w:rPr>
              <w:t xml:space="preserve"> При этом справедливая стоимость</w:t>
            </w:r>
            <w:r w:rsidR="0058606F" w:rsidRPr="00E20755">
              <w:rPr>
                <w:rFonts w:ascii="Times New Roman" w:eastAsia="Times New Roman" w:hAnsi="Times New Roman"/>
                <w:bCs/>
                <w:color w:val="000000"/>
                <w:sz w:val="20"/>
                <w:szCs w:val="20"/>
                <w:lang w:eastAsia="ru-RU"/>
              </w:rPr>
              <w:t xml:space="preserve"> на дату определения СЧА</w:t>
            </w:r>
            <w:r w:rsidR="00D830D3" w:rsidRPr="00E20755">
              <w:rPr>
                <w:rFonts w:ascii="Times New Roman" w:eastAsia="Times New Roman" w:hAnsi="Times New Roman"/>
                <w:bCs/>
                <w:color w:val="000000"/>
                <w:sz w:val="20"/>
                <w:szCs w:val="20"/>
                <w:lang w:eastAsia="ru-RU"/>
              </w:rPr>
              <w:t xml:space="preserve"> не может быть ниже </w:t>
            </w:r>
            <w:r w:rsidR="004355A2" w:rsidRPr="00E20755">
              <w:rPr>
                <w:rFonts w:ascii="Times New Roman" w:eastAsia="Times New Roman" w:hAnsi="Times New Roman"/>
                <w:bCs/>
                <w:color w:val="000000"/>
                <w:sz w:val="20"/>
                <w:szCs w:val="20"/>
                <w:lang w:eastAsia="ru-RU"/>
              </w:rPr>
              <w:t>суммы</w:t>
            </w:r>
            <w:r w:rsidR="00D830D3" w:rsidRPr="00E20755">
              <w:rPr>
                <w:rFonts w:ascii="Times New Roman" w:eastAsia="Times New Roman" w:hAnsi="Times New Roman"/>
                <w:bCs/>
                <w:color w:val="000000"/>
                <w:sz w:val="20"/>
                <w:szCs w:val="20"/>
                <w:lang w:eastAsia="ru-RU"/>
              </w:rPr>
              <w:t>, которая</w:t>
            </w:r>
            <w:r w:rsidR="00965121" w:rsidRPr="00E20755">
              <w:rPr>
                <w:rFonts w:ascii="Times New Roman" w:eastAsia="Times New Roman" w:hAnsi="Times New Roman"/>
                <w:bCs/>
                <w:color w:val="000000"/>
                <w:sz w:val="20"/>
                <w:szCs w:val="20"/>
                <w:lang w:eastAsia="ru-RU"/>
              </w:rPr>
              <w:t xml:space="preserve"> была бы</w:t>
            </w:r>
            <w:r w:rsidR="00D830D3" w:rsidRPr="00E20755">
              <w:rPr>
                <w:rFonts w:ascii="Times New Roman" w:eastAsia="Times New Roman" w:hAnsi="Times New Roman"/>
                <w:bCs/>
                <w:color w:val="000000"/>
                <w:sz w:val="20"/>
                <w:szCs w:val="20"/>
                <w:lang w:eastAsia="ru-RU"/>
              </w:rPr>
              <w:t xml:space="preserve"> </w:t>
            </w:r>
            <w:r w:rsidR="0058606F" w:rsidRPr="00E20755">
              <w:rPr>
                <w:rFonts w:ascii="Times New Roman" w:eastAsia="Times New Roman" w:hAnsi="Times New Roman"/>
                <w:bCs/>
                <w:color w:val="000000"/>
                <w:sz w:val="20"/>
                <w:szCs w:val="20"/>
                <w:lang w:eastAsia="ru-RU"/>
              </w:rPr>
              <w:t xml:space="preserve">возвращена в ПИФ </w:t>
            </w:r>
            <w:r w:rsidR="00D830D3" w:rsidRPr="00E20755">
              <w:rPr>
                <w:rFonts w:ascii="Times New Roman" w:eastAsia="Times New Roman" w:hAnsi="Times New Roman"/>
                <w:bCs/>
                <w:color w:val="000000"/>
                <w:sz w:val="20"/>
                <w:szCs w:val="20"/>
                <w:lang w:eastAsia="ru-RU"/>
              </w:rPr>
              <w:t>при</w:t>
            </w:r>
            <w:r w:rsidR="0058606F" w:rsidRPr="00E20755">
              <w:rPr>
                <w:rFonts w:ascii="Times New Roman" w:eastAsia="Times New Roman" w:hAnsi="Times New Roman"/>
                <w:bCs/>
                <w:color w:val="000000"/>
                <w:sz w:val="20"/>
                <w:szCs w:val="20"/>
                <w:lang w:eastAsia="ru-RU"/>
              </w:rPr>
              <w:t xml:space="preserve"> условии </w:t>
            </w:r>
            <w:r w:rsidR="003D73E2" w:rsidRPr="00E20755">
              <w:rPr>
                <w:rFonts w:ascii="Times New Roman" w:eastAsia="Times New Roman" w:hAnsi="Times New Roman"/>
                <w:bCs/>
                <w:color w:val="000000"/>
                <w:sz w:val="20"/>
                <w:szCs w:val="20"/>
                <w:lang w:eastAsia="ru-RU"/>
              </w:rPr>
              <w:t>расторжения</w:t>
            </w:r>
            <w:r w:rsidR="00D830D3" w:rsidRPr="00E20755">
              <w:rPr>
                <w:rFonts w:ascii="Times New Roman" w:eastAsia="Times New Roman" w:hAnsi="Times New Roman"/>
                <w:bCs/>
                <w:color w:val="000000"/>
                <w:sz w:val="20"/>
                <w:szCs w:val="20"/>
                <w:lang w:eastAsia="ru-RU"/>
              </w:rPr>
              <w:t xml:space="preserve"> договора банковского вклада</w:t>
            </w:r>
            <w:r w:rsidR="00B224E1" w:rsidRPr="00E20755">
              <w:rPr>
                <w:rFonts w:ascii="Times New Roman" w:eastAsia="Times New Roman" w:hAnsi="Times New Roman"/>
                <w:bCs/>
                <w:color w:val="000000"/>
                <w:sz w:val="20"/>
                <w:szCs w:val="20"/>
                <w:lang w:eastAsia="ru-RU"/>
              </w:rPr>
              <w:t xml:space="preserve"> на дату оценки</w:t>
            </w:r>
            <w:r w:rsidR="00D830D3" w:rsidRPr="00E20755">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EF1202" w:rsidRDefault="003674B4" w:rsidP="003674B4">
      <w:pPr>
        <w:spacing w:after="0"/>
        <w:jc w:val="right"/>
        <w:rPr>
          <w:rFonts w:ascii="Times New Roman" w:hAnsi="Times New Roman"/>
          <w:b/>
        </w:rPr>
      </w:pPr>
      <w:r w:rsidRPr="00EF1202">
        <w:rPr>
          <w:rFonts w:ascii="Times New Roman" w:hAnsi="Times New Roman"/>
          <w:b/>
        </w:rPr>
        <w:lastRenderedPageBreak/>
        <w:t>Приложение 18</w:t>
      </w:r>
    </w:p>
    <w:p w:rsidR="003674B4" w:rsidRPr="00EF1202" w:rsidRDefault="003674B4" w:rsidP="003674B4">
      <w:pPr>
        <w:tabs>
          <w:tab w:val="left" w:pos="3069"/>
        </w:tabs>
        <w:spacing w:after="0" w:line="240" w:lineRule="auto"/>
        <w:jc w:val="center"/>
        <w:rPr>
          <w:rFonts w:ascii="Times New Roman" w:hAnsi="Times New Roman"/>
          <w:b/>
          <w:color w:val="943634"/>
        </w:rPr>
      </w:pP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3674B4" w:rsidRPr="00EF1202" w:rsidRDefault="003674B4" w:rsidP="003674B4">
      <w:pPr>
        <w:spacing w:after="0"/>
        <w:jc w:val="both"/>
        <w:rPr>
          <w:rFonts w:ascii="Times New Roman" w:hAnsi="Times New Roman"/>
          <w:b/>
          <w:color w:val="943634"/>
        </w:rPr>
      </w:pPr>
    </w:p>
    <w:p w:rsidR="003674B4" w:rsidRPr="00EF1202" w:rsidRDefault="003674B4" w:rsidP="003674B4">
      <w:pPr>
        <w:spacing w:after="0"/>
        <w:jc w:val="both"/>
        <w:rPr>
          <w:rFonts w:ascii="Times New Roman" w:hAnsi="Times New Roman"/>
          <w:b/>
          <w:color w:val="943634"/>
        </w:rPr>
      </w:pPr>
    </w:p>
    <w:p w:rsidR="00BF79D0" w:rsidRDefault="00BF79D0" w:rsidP="00BF79D0">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w:t>
      </w:r>
      <w:bookmarkStart w:id="5" w:name="_GoBack"/>
      <w:bookmarkEnd w:id="5"/>
      <w:r w:rsidRPr="008B792E">
        <w:rPr>
          <w:rFonts w:ascii="Times New Roman" w:hAnsi="Times New Roman"/>
          <w:sz w:val="24"/>
          <w:szCs w:val="24"/>
        </w:rPr>
        <w:t>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BF79D0" w:rsidRDefault="00BF79D0" w:rsidP="00BF79D0">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1" type="#_x0000_t75" style="width:145.5pt;height:34.5pt" o:ole="">
            <v:imagedata r:id="rId115" o:title=""/>
          </v:shape>
          <o:OLEObject Type="Embed" ProgID="Equation.3" ShapeID="_x0000_i1071" DrawAspect="Content" ObjectID="_1634052347" r:id="rId116"/>
        </w:object>
      </w:r>
    </w:p>
    <w:p w:rsidR="00BF79D0" w:rsidRDefault="00BF79D0" w:rsidP="00BF79D0">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BF79D0" w:rsidRDefault="00BF79D0" w:rsidP="00BF79D0">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F79D0" w:rsidRDefault="00BF79D0" w:rsidP="00BF79D0">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BF79D0" w:rsidRDefault="00BF79D0" w:rsidP="00BF79D0">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7"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BF79D0" w:rsidRPr="00486CFE" w:rsidRDefault="00BF79D0" w:rsidP="00BF79D0">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BF79D0" w:rsidRDefault="00BF79D0" w:rsidP="00BF79D0">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BF79D0" w:rsidRPr="00486CFE" w:rsidTr="00D55F4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BF79D0" w:rsidRPr="00486CFE" w:rsidTr="00D55F4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F79D0" w:rsidRDefault="00BF79D0"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D55F4D">
            <w:pPr>
              <w:spacing w:line="360" w:lineRule="auto"/>
              <w:rPr>
                <w:rFonts w:ascii="Times New Roman" w:hAnsi="Times New Roman"/>
                <w:b/>
                <w:bCs/>
                <w:color w:val="000000"/>
                <w:sz w:val="24"/>
                <w:szCs w:val="24"/>
              </w:rPr>
            </w:pPr>
          </w:p>
        </w:tc>
      </w:tr>
      <w:tr w:rsidR="00BF79D0" w:rsidRPr="00486CFE" w:rsidTr="00D55F4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79D0" w:rsidRDefault="00BF79D0"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BF79D0" w:rsidRDefault="00BF79D0"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BF79D0" w:rsidRDefault="00BF79D0" w:rsidP="00BF79D0">
      <w:pPr>
        <w:spacing w:after="120" w:line="360" w:lineRule="auto"/>
        <w:rPr>
          <w:rFonts w:ascii="Times New Roman" w:hAnsi="Times New Roman"/>
          <w:sz w:val="24"/>
          <w:szCs w:val="24"/>
        </w:rPr>
      </w:pPr>
    </w:p>
    <w:p w:rsidR="00BF79D0" w:rsidRDefault="00BF79D0" w:rsidP="00BF79D0">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F79D0" w:rsidRDefault="00BF79D0" w:rsidP="00BF79D0">
      <w:pPr>
        <w:pStyle w:val="ac"/>
        <w:numPr>
          <w:ilvl w:val="0"/>
          <w:numId w:val="63"/>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BF79D0" w:rsidRDefault="00BF79D0" w:rsidP="00BF79D0">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BF79D0" w:rsidRDefault="00BF79D0" w:rsidP="00BF79D0">
      <w:pPr>
        <w:spacing w:after="0" w:line="360" w:lineRule="auto"/>
        <w:ind w:firstLine="708"/>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BF79D0" w:rsidRDefault="00BF79D0" w:rsidP="00BF79D0">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BF79D0" w:rsidRDefault="00BF79D0" w:rsidP="00BF79D0">
      <w:pPr>
        <w:spacing w:after="0" w:line="360" w:lineRule="auto"/>
        <w:ind w:firstLine="708"/>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BF79D0" w:rsidRDefault="00BF79D0" w:rsidP="00BF79D0">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BF79D0" w:rsidRDefault="00BF79D0" w:rsidP="00BF79D0">
      <w:pPr>
        <w:spacing w:after="0" w:line="360" w:lineRule="auto"/>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BF79D0" w:rsidRDefault="00BF79D0" w:rsidP="00BF79D0">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BF79D0" w:rsidRDefault="00BF79D0" w:rsidP="00BF79D0">
      <w:pPr>
        <w:spacing w:after="0" w:line="360" w:lineRule="auto"/>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BF79D0" w:rsidRDefault="00BF79D0" w:rsidP="00BF79D0">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BF79D0" w:rsidRDefault="00BF79D0" w:rsidP="00BF79D0">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BF79D0" w:rsidRDefault="00BF79D0" w:rsidP="00BF79D0">
      <w:pPr>
        <w:pStyle w:val="ac"/>
        <w:spacing w:line="360" w:lineRule="auto"/>
        <w:ind w:left="0"/>
        <w:rPr>
          <w:sz w:val="24"/>
          <w:szCs w:val="24"/>
        </w:rPr>
      </w:pP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72B26"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72B26"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72B26"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BF79D0" w:rsidRDefault="00772B26" w:rsidP="00BF79D0">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BF79D0" w:rsidRPr="00214574">
        <w:rPr>
          <w:rFonts w:ascii="Times New Roman" w:hAnsi="Times New Roman"/>
          <w:sz w:val="24"/>
          <w:szCs w:val="24"/>
        </w:rPr>
        <w:t>, (Формула 1)</w:t>
      </w:r>
    </w:p>
    <w:p w:rsidR="00BF79D0" w:rsidRDefault="00772B26" w:rsidP="00BF79D0">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BF79D0" w:rsidRPr="00214574">
        <w:rPr>
          <w:rFonts w:ascii="Times New Roman" w:hAnsi="Times New Roman"/>
          <w:sz w:val="24"/>
          <w:szCs w:val="24"/>
        </w:rPr>
        <w:t>, (Формула 2)</w:t>
      </w:r>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0"/>
        <w:jc w:val="both"/>
        <w:rPr>
          <w:rFonts w:ascii="Verdana" w:hAnsi="Verdana" w:cs="Calibri"/>
          <w:b/>
          <w:color w:val="943634"/>
        </w:rPr>
      </w:pPr>
    </w:p>
    <w:p w:rsidR="001072B8" w:rsidRPr="00EF1202" w:rsidRDefault="001072B8" w:rsidP="008744DC">
      <w:pPr>
        <w:spacing w:after="0"/>
        <w:ind w:left="6096"/>
        <w:jc w:val="both"/>
        <w:rPr>
          <w:rFonts w:ascii="Times New Roman" w:hAnsi="Times New Roman"/>
          <w:highlight w:val="yellow"/>
        </w:rPr>
      </w:pPr>
    </w:p>
    <w:sectPr w:rsidR="001072B8" w:rsidRPr="00EF1202"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26" w:rsidRDefault="00772B26" w:rsidP="0095677F">
      <w:pPr>
        <w:spacing w:after="0" w:line="240" w:lineRule="auto"/>
      </w:pPr>
      <w:r>
        <w:separator/>
      </w:r>
    </w:p>
  </w:endnote>
  <w:endnote w:type="continuationSeparator" w:id="0">
    <w:p w:rsidR="00772B26" w:rsidRDefault="00772B2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5D" w:rsidRDefault="007F525D">
    <w:pPr>
      <w:pStyle w:val="afc"/>
      <w:jc w:val="right"/>
    </w:pPr>
    <w:r>
      <w:fldChar w:fldCharType="begin"/>
    </w:r>
    <w:r>
      <w:instrText xml:space="preserve"> PAGE   \* MERGEFORMAT </w:instrText>
    </w:r>
    <w:r>
      <w:fldChar w:fldCharType="separate"/>
    </w:r>
    <w:r w:rsidR="008B792E">
      <w:rPr>
        <w:noProof/>
      </w:rPr>
      <w:t>57</w:t>
    </w:r>
    <w:r>
      <w:rPr>
        <w:noProof/>
      </w:rPr>
      <w:fldChar w:fldCharType="end"/>
    </w:r>
  </w:p>
  <w:p w:rsidR="007F525D" w:rsidRDefault="007F525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26" w:rsidRDefault="00772B26" w:rsidP="0095677F">
      <w:pPr>
        <w:spacing w:after="0" w:line="240" w:lineRule="auto"/>
      </w:pPr>
      <w:r>
        <w:separator/>
      </w:r>
    </w:p>
  </w:footnote>
  <w:footnote w:type="continuationSeparator" w:id="0">
    <w:p w:rsidR="00772B26" w:rsidRDefault="00772B26" w:rsidP="0095677F">
      <w:pPr>
        <w:spacing w:after="0" w:line="240" w:lineRule="auto"/>
      </w:pPr>
      <w:r>
        <w:continuationSeparator/>
      </w:r>
    </w:p>
  </w:footnote>
  <w:footnote w:id="1">
    <w:p w:rsidR="007F525D" w:rsidRDefault="007F525D"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7">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8">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9">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5">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8">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2"/>
  </w:num>
  <w:num w:numId="2">
    <w:abstractNumId w:val="20"/>
  </w:num>
  <w:num w:numId="3">
    <w:abstractNumId w:val="57"/>
  </w:num>
  <w:num w:numId="4">
    <w:abstractNumId w:val="10"/>
  </w:num>
  <w:num w:numId="5">
    <w:abstractNumId w:val="16"/>
  </w:num>
  <w:num w:numId="6">
    <w:abstractNumId w:val="54"/>
  </w:num>
  <w:num w:numId="7">
    <w:abstractNumId w:val="51"/>
  </w:num>
  <w:num w:numId="8">
    <w:abstractNumId w:val="35"/>
  </w:num>
  <w:num w:numId="9">
    <w:abstractNumId w:val="29"/>
  </w:num>
  <w:num w:numId="10">
    <w:abstractNumId w:val="3"/>
  </w:num>
  <w:num w:numId="11">
    <w:abstractNumId w:val="12"/>
  </w:num>
  <w:num w:numId="12">
    <w:abstractNumId w:val="52"/>
  </w:num>
  <w:num w:numId="13">
    <w:abstractNumId w:val="53"/>
  </w:num>
  <w:num w:numId="14">
    <w:abstractNumId w:val="13"/>
  </w:num>
  <w:num w:numId="15">
    <w:abstractNumId w:val="30"/>
  </w:num>
  <w:num w:numId="16">
    <w:abstractNumId w:val="24"/>
  </w:num>
  <w:num w:numId="17">
    <w:abstractNumId w:val="32"/>
  </w:num>
  <w:num w:numId="18">
    <w:abstractNumId w:val="8"/>
  </w:num>
  <w:num w:numId="19">
    <w:abstractNumId w:val="58"/>
  </w:num>
  <w:num w:numId="20">
    <w:abstractNumId w:val="56"/>
  </w:num>
  <w:num w:numId="21">
    <w:abstractNumId w:val="6"/>
  </w:num>
  <w:num w:numId="22">
    <w:abstractNumId w:val="18"/>
  </w:num>
  <w:num w:numId="23">
    <w:abstractNumId w:val="31"/>
  </w:num>
  <w:num w:numId="24">
    <w:abstractNumId w:val="22"/>
  </w:num>
  <w:num w:numId="25">
    <w:abstractNumId w:val="41"/>
  </w:num>
  <w:num w:numId="26">
    <w:abstractNumId w:val="59"/>
  </w:num>
  <w:num w:numId="27">
    <w:abstractNumId w:val="28"/>
  </w:num>
  <w:num w:numId="28">
    <w:abstractNumId w:val="55"/>
  </w:num>
  <w:num w:numId="29">
    <w:abstractNumId w:val="4"/>
  </w:num>
  <w:num w:numId="30">
    <w:abstractNumId w:val="45"/>
  </w:num>
  <w:num w:numId="31">
    <w:abstractNumId w:val="2"/>
  </w:num>
  <w:num w:numId="32">
    <w:abstractNumId w:val="47"/>
  </w:num>
  <w:num w:numId="33">
    <w:abstractNumId w:val="38"/>
  </w:num>
  <w:num w:numId="34">
    <w:abstractNumId w:val="19"/>
  </w:num>
  <w:num w:numId="35">
    <w:abstractNumId w:val="49"/>
  </w:num>
  <w:num w:numId="36">
    <w:abstractNumId w:val="43"/>
  </w:num>
  <w:num w:numId="37">
    <w:abstractNumId w:val="48"/>
  </w:num>
  <w:num w:numId="38">
    <w:abstractNumId w:val="34"/>
  </w:num>
  <w:num w:numId="39">
    <w:abstractNumId w:val="23"/>
  </w:num>
  <w:num w:numId="40">
    <w:abstractNumId w:val="25"/>
  </w:num>
  <w:num w:numId="41">
    <w:abstractNumId w:val="7"/>
  </w:num>
  <w:num w:numId="42">
    <w:abstractNumId w:val="40"/>
  </w:num>
  <w:num w:numId="43">
    <w:abstractNumId w:val="50"/>
  </w:num>
  <w:num w:numId="44">
    <w:abstractNumId w:val="0"/>
  </w:num>
  <w:num w:numId="45">
    <w:abstractNumId w:val="21"/>
  </w:num>
  <w:num w:numId="46">
    <w:abstractNumId w:val="33"/>
  </w:num>
  <w:num w:numId="47">
    <w:abstractNumId w:val="46"/>
  </w:num>
  <w:num w:numId="48">
    <w:abstractNumId w:val="11"/>
  </w:num>
  <w:num w:numId="49">
    <w:abstractNumId w:val="26"/>
  </w:num>
  <w:num w:numId="50">
    <w:abstractNumId w:val="17"/>
  </w:num>
  <w:num w:numId="51">
    <w:abstractNumId w:val="39"/>
  </w:num>
  <w:num w:numId="52">
    <w:abstractNumId w:val="44"/>
  </w:num>
  <w:num w:numId="53">
    <w:abstractNumId w:val="15"/>
  </w:num>
  <w:num w:numId="54">
    <w:abstractNumId w:val="14"/>
  </w:num>
  <w:num w:numId="55">
    <w:abstractNumId w:val="1"/>
  </w:num>
  <w:num w:numId="56">
    <w:abstractNumId w:val="37"/>
  </w:num>
  <w:num w:numId="57">
    <w:abstractNumId w:val="37"/>
    <w:lvlOverride w:ilvl="0">
      <w:startOverride w:val="1"/>
    </w:lvlOverride>
  </w:num>
  <w:num w:numId="58">
    <w:abstractNumId w:val="36"/>
  </w:num>
  <w:num w:numId="59">
    <w:abstractNumId w:val="9"/>
  </w:num>
  <w:num w:numId="60">
    <w:abstractNumId w:val="20"/>
  </w:num>
  <w:num w:numId="61">
    <w:abstractNumId w:val="27"/>
  </w:num>
  <w:num w:numId="62">
    <w:abstractNumId w:val="60"/>
  </w:num>
  <w:num w:numId="63">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spratings.com/documents/20184/774196/2016+Annual+Global+Corporate+Default+Study+And+Rating+Transitions.pdf/2ddcf9dd-3b82-4151-9dab-8e3fc70a7035"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image" Target="media/image33.wmf"/><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oleObject" Target="embeddings/oleObject49.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34563-95C6-46F4-BC3B-F36E69F0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63</Pages>
  <Words>17757</Words>
  <Characters>101215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118735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18</cp:revision>
  <cp:lastPrinted>2015-12-21T07:18:00Z</cp:lastPrinted>
  <dcterms:created xsi:type="dcterms:W3CDTF">2019-04-22T12:42:00Z</dcterms:created>
  <dcterms:modified xsi:type="dcterms:W3CDTF">2019-10-31T12:50:00Z</dcterms:modified>
</cp:coreProperties>
</file>