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2438F1">
              <w:rPr>
                <w:rFonts w:ascii="Times New Roman" w:eastAsia="Times New Roman" w:hAnsi="Times New Roman"/>
                <w:color w:val="000000"/>
                <w:sz w:val="24"/>
                <w:szCs w:val="24"/>
                <w:lang w:eastAsia="ar-SA"/>
              </w:rPr>
              <w:t>33</w:t>
            </w:r>
            <w:r w:rsidRPr="00C31FA9">
              <w:rPr>
                <w:rFonts w:ascii="Times New Roman" w:eastAsia="Times New Roman" w:hAnsi="Times New Roman"/>
                <w:color w:val="000000"/>
                <w:sz w:val="24"/>
                <w:szCs w:val="24"/>
                <w:lang w:eastAsia="ar-SA"/>
              </w:rPr>
              <w:t xml:space="preserve"> от «</w:t>
            </w:r>
            <w:r w:rsidR="001D48F5" w:rsidRPr="001D48F5">
              <w:rPr>
                <w:rFonts w:ascii="Times New Roman" w:eastAsia="Times New Roman" w:hAnsi="Times New Roman"/>
                <w:color w:val="000000"/>
                <w:sz w:val="24"/>
                <w:szCs w:val="24"/>
                <w:lang w:eastAsia="ar-SA"/>
              </w:rPr>
              <w:t>3</w:t>
            </w:r>
            <w:r w:rsidR="002438F1">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2438F1">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1D48F5" w:rsidRPr="002438F1">
              <w:rPr>
                <w:rFonts w:ascii="Times New Roman" w:eastAsia="Times New Roman" w:hAnsi="Times New Roman"/>
                <w:color w:val="000000"/>
                <w:sz w:val="24"/>
                <w:szCs w:val="24"/>
                <w:lang w:eastAsia="ar-SA"/>
              </w:rPr>
              <w:t>3</w:t>
            </w:r>
            <w:r w:rsidR="002438F1">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2438F1">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EC691A">
        <w:rPr>
          <w:rFonts w:ascii="Times New Roman" w:hAnsi="Times New Roman" w:cs="Times New Roman"/>
          <w:color w:val="000000"/>
          <w:sz w:val="24"/>
          <w:szCs w:val="24"/>
        </w:rPr>
        <w:t>Активные инвестиции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EC691A">
        <w:rPr>
          <w:rFonts w:ascii="Times New Roman" w:hAnsi="Times New Roman"/>
          <w:color w:val="000000"/>
          <w:sz w:val="24"/>
          <w:szCs w:val="24"/>
        </w:rPr>
        <w:t>Активные инвестиции - облигации</w:t>
      </w:r>
      <w:r w:rsidRPr="00C31FA9">
        <w:rPr>
          <w:rFonts w:ascii="Times New Roman" w:hAnsi="Times New Roman"/>
          <w:sz w:val="24"/>
          <w:szCs w:val="24"/>
        </w:rPr>
        <w:t xml:space="preserve">» с </w:t>
      </w:r>
      <w:r w:rsidR="002438F1">
        <w:rPr>
          <w:rFonts w:ascii="Times New Roman" w:hAnsi="Times New Roman"/>
          <w:sz w:val="24"/>
          <w:szCs w:val="24"/>
        </w:rPr>
        <w:t>1</w:t>
      </w:r>
      <w:r w:rsidRPr="00C31FA9">
        <w:rPr>
          <w:rFonts w:ascii="Times New Roman" w:hAnsi="Times New Roman"/>
          <w:sz w:val="24"/>
          <w:szCs w:val="24"/>
        </w:rPr>
        <w:t xml:space="preserve">1 </w:t>
      </w:r>
      <w:r w:rsidR="002438F1">
        <w:rPr>
          <w:rFonts w:ascii="Times New Roman" w:hAnsi="Times New Roman"/>
          <w:sz w:val="24"/>
          <w:szCs w:val="24"/>
        </w:rPr>
        <w:t>ноября</w:t>
      </w:r>
      <w:r w:rsidRPr="00C31FA9">
        <w:rPr>
          <w:rFonts w:ascii="Times New Roman" w:hAnsi="Times New Roman"/>
          <w:sz w:val="24"/>
          <w:szCs w:val="24"/>
        </w:rPr>
        <w:t xml:space="preserve">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EC691A">
        <w:rPr>
          <w:rFonts w:ascii="Times New Roman" w:hAnsi="Times New Roman"/>
          <w:color w:val="000000"/>
          <w:sz w:val="24"/>
          <w:szCs w:val="24"/>
        </w:rPr>
        <w:t>Активные инвестиции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EC691A">
        <w:rPr>
          <w:rFonts w:ascii="Times New Roman" w:hAnsi="Times New Roman" w:cs="Times New Roman"/>
          <w:color w:val="000000"/>
          <w:sz w:val="24"/>
          <w:szCs w:val="24"/>
        </w:rPr>
        <w:t>Активные инвестиции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w:t>
      </w:r>
      <w:r w:rsidR="002438F1">
        <w:rPr>
          <w:rFonts w:ascii="Times New Roman" w:hAnsi="Times New Roman"/>
        </w:rPr>
        <w:t>1</w:t>
      </w:r>
      <w:r w:rsidR="00C31FA9" w:rsidRPr="00C31FA9">
        <w:rPr>
          <w:rFonts w:ascii="Times New Roman" w:hAnsi="Times New Roman"/>
        </w:rPr>
        <w:t xml:space="preserve">1» </w:t>
      </w:r>
      <w:r w:rsidR="002438F1">
        <w:rPr>
          <w:rFonts w:ascii="Times New Roman" w:hAnsi="Times New Roman"/>
        </w:rPr>
        <w:t>ноября</w:t>
      </w:r>
      <w:r w:rsidR="00C31FA9" w:rsidRPr="00C31FA9">
        <w:rPr>
          <w:rFonts w:ascii="Times New Roman" w:hAnsi="Times New Roman"/>
        </w:rPr>
        <w:t xml:space="preserve">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911D20" w:rsidRDefault="00911D20" w:rsidP="00911D20">
      <w:pPr>
        <w:pStyle w:val="ac"/>
        <w:numPr>
          <w:ilvl w:val="0"/>
          <w:numId w:val="59"/>
        </w:numPr>
        <w:spacing w:after="0" w:line="240" w:lineRule="auto"/>
        <w:rPr>
          <w:rFonts w:ascii="Times New Roman" w:hAnsi="Times New Roman"/>
        </w:rPr>
      </w:pPr>
      <w:bookmarkStart w:id="0"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123254" w:rsidRPr="00911D20" w:rsidRDefault="00911D20" w:rsidP="00911D20">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00123254" w:rsidRPr="00911D20">
        <w:rPr>
          <w:rFonts w:ascii="Times New Roman" w:hAnsi="Times New Roman"/>
          <w:b/>
        </w:rPr>
        <w:br w:type="page"/>
      </w:r>
    </w:p>
    <w:p w:rsidR="0049509C" w:rsidRPr="00C31FA9" w:rsidRDefault="009B63C4" w:rsidP="00D41B68">
      <w:pPr>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w:t>
      </w:r>
      <w:r w:rsidR="0054627D" w:rsidRPr="00C31FA9">
        <w:rPr>
          <w:rFonts w:ascii="Times New Roman" w:hAnsi="Times New Roman"/>
          <w:b/>
        </w:rPr>
        <w:t>2</w:t>
      </w:r>
      <w:bookmarkEnd w:id="0"/>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4051455"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4051456"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4051457"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4051458"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4051459"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4051460"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4051461"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4051462"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4051463"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4051464"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4051465"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2" type="#_x0000_t75" style="width:53.25pt;height:31.5pt" o:ole="">
                  <v:imagedata r:id="rId36" o:title=""/>
                </v:shape>
                <o:OLEObject Type="Embed" ProgID="Equation.3" ShapeID="_x0000_i1072" DrawAspect="Content" ObjectID="_1634051466"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34051467"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34051468"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34051469"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порядковый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34051470"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34051471"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34051472"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34051473"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34051474"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4051475"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4051476"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34051477"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равной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34051478"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34051479"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34051480"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34051481"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34051482"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34051483"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34051484"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34051485"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34051486"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34051487"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4051488"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34051489"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4051490"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34051491"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34051492"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34051493"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34051494"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34051495"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3" type="#_x0000_t75" style="width:133.5pt;height:63.75pt" o:ole="">
                  <v:imagedata r:id="rId82" o:title=""/>
                </v:shape>
                <o:OLEObject Type="Embed" ProgID="Equation.3" ShapeID="_x0000_i1073" DrawAspect="Content" ObjectID="_1634051496"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34051497"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34051498"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1"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1"/>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предшествующего неторговому</w:t>
      </w:r>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911D20" w:rsidRPr="00C31FA9" w:rsidTr="00BE23DE">
        <w:trPr>
          <w:trHeight w:val="1971"/>
        </w:trPr>
        <w:tc>
          <w:tcPr>
            <w:tcW w:w="2943" w:type="dxa"/>
          </w:tcPr>
          <w:p w:rsidR="00911D20" w:rsidRPr="00C31FA9" w:rsidRDefault="00911D20"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911D20" w:rsidRPr="00C31FA9" w:rsidRDefault="00911D20" w:rsidP="00E347EC">
            <w:pPr>
              <w:pStyle w:val="ac"/>
              <w:ind w:left="0"/>
              <w:jc w:val="both"/>
              <w:rPr>
                <w:rFonts w:ascii="Times New Roman" w:hAnsi="Times New Roman"/>
                <w:b/>
                <w:sz w:val="20"/>
                <w:szCs w:val="20"/>
              </w:rPr>
            </w:pPr>
          </w:p>
        </w:tc>
        <w:tc>
          <w:tcPr>
            <w:tcW w:w="10703" w:type="dxa"/>
          </w:tcPr>
          <w:p w:rsidR="00911D20" w:rsidRDefault="00911D20">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911D20" w:rsidRDefault="00911D20">
            <w:pPr>
              <w:pStyle w:val="ac"/>
              <w:spacing w:after="0"/>
              <w:ind w:left="0" w:firstLine="595"/>
              <w:jc w:val="both"/>
              <w:rPr>
                <w:rFonts w:ascii="Times New Roman" w:hAnsi="Times New Roman"/>
                <w:sz w:val="20"/>
                <w:szCs w:val="20"/>
              </w:rPr>
            </w:pPr>
            <w:r>
              <w:rPr>
                <w:rFonts w:ascii="Times New Roman" w:hAnsi="Times New Roman"/>
                <w:sz w:val="20"/>
                <w:szCs w:val="20"/>
              </w:rPr>
              <w:t>В случае,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911D20" w:rsidRDefault="00911D20">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911D20" w:rsidRPr="00C31FA9" w:rsidTr="00BE23DE">
        <w:trPr>
          <w:trHeight w:val="1687"/>
        </w:trPr>
        <w:tc>
          <w:tcPr>
            <w:tcW w:w="2943" w:type="dxa"/>
          </w:tcPr>
          <w:p w:rsidR="00911D20" w:rsidRPr="00C31FA9" w:rsidRDefault="00911D20"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911D20" w:rsidRPr="00C31FA9" w:rsidRDefault="00911D20" w:rsidP="00E347EC">
            <w:pPr>
              <w:pStyle w:val="ac"/>
              <w:ind w:left="0"/>
              <w:jc w:val="both"/>
              <w:rPr>
                <w:rFonts w:ascii="Times New Roman" w:hAnsi="Times New Roman"/>
                <w:b/>
                <w:sz w:val="20"/>
                <w:szCs w:val="20"/>
              </w:rPr>
            </w:pPr>
          </w:p>
        </w:tc>
        <w:tc>
          <w:tcPr>
            <w:tcW w:w="10703" w:type="dxa"/>
          </w:tcPr>
          <w:p w:rsidR="00911D20" w:rsidRDefault="00911D20">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911D20" w:rsidRDefault="00911D20">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32559" w:rsidRPr="00C31FA9" w:rsidTr="00D41B68">
        <w:trPr>
          <w:trHeight w:val="1837"/>
        </w:trPr>
        <w:tc>
          <w:tcPr>
            <w:tcW w:w="2943" w:type="dxa"/>
          </w:tcPr>
          <w:p w:rsidR="00E32559" w:rsidRPr="00C31FA9" w:rsidRDefault="00E32559" w:rsidP="002457E0">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7548A0" w:rsidRPr="00C31FA9" w:rsidRDefault="007548A0" w:rsidP="007548A0">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E32559" w:rsidRPr="00C31FA9" w:rsidRDefault="00E32559" w:rsidP="002457E0">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2"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2"/>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спроса (bid last)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спроса (bid last)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(px_last)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F5CDC" w:rsidRPr="00C31FA9" w:rsidTr="00702539">
        <w:tc>
          <w:tcPr>
            <w:tcW w:w="2935" w:type="dxa"/>
          </w:tcPr>
          <w:p w:rsidR="00CF5CDC" w:rsidRPr="00C31FA9" w:rsidRDefault="00CF5CDC" w:rsidP="007548A0">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F5CDC" w:rsidRPr="00C31FA9" w:rsidRDefault="00CF5CDC" w:rsidP="002457E0">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755189" w:rsidRPr="00C31FA9" w:rsidRDefault="00755189" w:rsidP="00755189">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спроса (bid last)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755189" w:rsidRPr="00C31FA9" w:rsidRDefault="00755189" w:rsidP="00755189">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755189" w:rsidRPr="00C31FA9" w:rsidRDefault="00755189" w:rsidP="0075518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755189" w:rsidRPr="00C31FA9" w:rsidRDefault="00755189" w:rsidP="0075518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F5CDC" w:rsidRPr="00C31FA9" w:rsidRDefault="00CF5CDC" w:rsidP="002457E0">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F5CDC" w:rsidRPr="00C31FA9" w:rsidRDefault="00CF5CDC" w:rsidP="002457E0">
            <w:pPr>
              <w:pStyle w:val="ac"/>
              <w:spacing w:after="0" w:line="240" w:lineRule="auto"/>
              <w:ind w:left="0" w:firstLine="466"/>
              <w:jc w:val="both"/>
              <w:rPr>
                <w:rFonts w:ascii="Times New Roman" w:hAnsi="Times New Roman"/>
                <w:sz w:val="20"/>
                <w:szCs w:val="20"/>
              </w:rPr>
            </w:pPr>
          </w:p>
        </w:tc>
      </w:tr>
      <w:tr w:rsidR="00CF5CDC" w:rsidRPr="00C31FA9" w:rsidTr="00702539">
        <w:tc>
          <w:tcPr>
            <w:tcW w:w="13646" w:type="dxa"/>
            <w:gridSpan w:val="2"/>
            <w:tcBorders>
              <w:left w:val="nil"/>
              <w:bottom w:val="single" w:sz="4" w:space="0" w:color="auto"/>
              <w:right w:val="nil"/>
            </w:tcBorders>
          </w:tcPr>
          <w:p w:rsidR="00CF5CDC" w:rsidRPr="00C31FA9" w:rsidRDefault="00CF5CDC" w:rsidP="002E4D78">
            <w:pPr>
              <w:spacing w:after="0"/>
              <w:jc w:val="center"/>
              <w:rPr>
                <w:rFonts w:ascii="Times New Roman" w:hAnsi="Times New Roman"/>
                <w:bCs/>
                <w:i/>
                <w:iCs/>
                <w:color w:val="943634" w:themeColor="accent2" w:themeShade="BF"/>
                <w:sz w:val="20"/>
                <w:szCs w:val="20"/>
              </w:rPr>
            </w:pPr>
          </w:p>
          <w:p w:rsidR="00CF5CDC" w:rsidRPr="00C31FA9" w:rsidRDefault="00CF5CDC"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F5CDC" w:rsidRPr="00C31FA9" w:rsidRDefault="00CF5CDC"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CF5CDC" w:rsidRPr="00C31FA9" w:rsidTr="00702539">
        <w:tc>
          <w:tcPr>
            <w:tcW w:w="2935" w:type="dxa"/>
            <w:shd w:val="clear" w:color="auto" w:fill="A6A6A6" w:themeFill="background1" w:themeFillShade="A6"/>
          </w:tcPr>
          <w:p w:rsidR="00CF5CDC" w:rsidRPr="00C31FA9" w:rsidRDefault="00CF5CD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CF5CDC" w:rsidRPr="00C31FA9" w:rsidRDefault="00CF5CD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CF5CDC" w:rsidRPr="00C31FA9" w:rsidTr="00702539">
        <w:tc>
          <w:tcPr>
            <w:tcW w:w="2935" w:type="dxa"/>
          </w:tcPr>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p>
          <w:p w:rsidR="00CF5CDC" w:rsidRPr="00C31FA9" w:rsidRDefault="00CF5CDC">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CF5CDC" w:rsidRPr="00C31FA9" w:rsidRDefault="00CF5CDC"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CF5CDC" w:rsidRPr="00C31FA9" w:rsidRDefault="00CF5CDC"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CF5CDC" w:rsidRPr="00C31FA9" w:rsidRDefault="00CF5CDC"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(бенчмарка)  акций российских эмитентов  используется  индекс Московской Биржи (IMOEX).</w:t>
            </w:r>
          </w:p>
          <w:p w:rsidR="00CF5CDC" w:rsidRPr="00C31FA9" w:rsidRDefault="00CF5CDC"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CF5CDC" w:rsidRPr="00C31FA9" w:rsidRDefault="00CF5CDC"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CF5CDC" w:rsidRPr="00C31FA9" w:rsidRDefault="00F16FD2"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CF5CDC" w:rsidRPr="00C31FA9">
              <w:rPr>
                <w:rFonts w:ascii="Times New Roman" w:eastAsia="Times New Roman" w:hAnsi="Times New Roman"/>
                <w:color w:val="000000"/>
                <w:sz w:val="20"/>
                <w:szCs w:val="20"/>
                <w:lang w:eastAsia="ru-RU"/>
              </w:rPr>
              <w:t xml:space="preserve">, </w:t>
            </w:r>
          </w:p>
          <w:p w:rsidR="00CF5CDC" w:rsidRPr="00C31FA9" w:rsidRDefault="00CF5CDC"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F5CDC" w:rsidRPr="00C31FA9" w:rsidRDefault="00F16FD2"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CF5CDC"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CF5CDC" w:rsidRPr="00C31FA9" w:rsidRDefault="00F16FD2"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CF5CDC"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CF5CDC" w:rsidRPr="00C31FA9" w:rsidRDefault="00CF5CDC"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CF5CDC" w:rsidRPr="00C31FA9" w:rsidRDefault="00CF5CDC" w:rsidP="00EB544F">
            <w:pPr>
              <w:spacing w:after="0"/>
              <w:jc w:val="both"/>
              <w:rPr>
                <w:rFonts w:ascii="Times New Roman" w:eastAsia="Times New Roman" w:hAnsi="Times New Roman"/>
                <w:color w:val="000000"/>
                <w:sz w:val="20"/>
                <w:szCs w:val="20"/>
                <w:lang w:eastAsia="ru-RU"/>
              </w:rPr>
            </w:pPr>
          </w:p>
          <w:p w:rsidR="00CF5CDC" w:rsidRPr="00C31FA9" w:rsidRDefault="00CF5CDC"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CF5CDC" w:rsidRPr="00C31FA9" w:rsidRDefault="00CF5CDC" w:rsidP="00EB544F">
            <w:pPr>
              <w:spacing w:after="0"/>
              <w:jc w:val="both"/>
              <w:rPr>
                <w:rFonts w:ascii="Times New Roman" w:eastAsia="Times New Roman" w:hAnsi="Times New Roman"/>
                <w:color w:val="000000"/>
                <w:sz w:val="20"/>
                <w:szCs w:val="20"/>
                <w:lang w:eastAsia="ru-RU"/>
              </w:rPr>
            </w:pPr>
          </w:p>
          <w:p w:rsidR="00CF5CDC" w:rsidRPr="00C31FA9" w:rsidRDefault="00CF5CDC"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CF5CDC" w:rsidRPr="00C31FA9" w:rsidRDefault="00CF5CDC" w:rsidP="00D41AF4">
            <w:pPr>
              <w:spacing w:after="0"/>
              <w:jc w:val="center"/>
              <w:rPr>
                <w:rFonts w:ascii="Times New Roman" w:eastAsia="Times New Roman" w:hAnsi="Times New Roman"/>
                <w:color w:val="000000"/>
                <w:sz w:val="20"/>
                <w:szCs w:val="20"/>
                <w:lang w:eastAsia="ru-RU"/>
              </w:rPr>
            </w:pPr>
          </w:p>
          <w:p w:rsidR="00CF5CDC" w:rsidRPr="00C31FA9" w:rsidRDefault="00F16FD2"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CF5CDC"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CF5CDC" w:rsidRPr="00C31FA9" w:rsidRDefault="00F16FD2"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F5CDC" w:rsidRPr="00C31FA9">
              <w:rPr>
                <w:rFonts w:ascii="Times New Roman" w:eastAsia="Times New Roman" w:hAnsi="Times New Roman"/>
                <w:color w:val="000000"/>
                <w:sz w:val="20"/>
                <w:szCs w:val="20"/>
                <w:lang w:eastAsia="ru-RU"/>
              </w:rPr>
              <w:t>,</w:t>
            </w:r>
          </w:p>
          <w:p w:rsidR="00CF5CDC" w:rsidRPr="00C31FA9" w:rsidRDefault="00CF5CDC"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CF5CDC"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CF5CDC" w:rsidRPr="00C31FA9" w:rsidRDefault="00F16FD2"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F5CDC"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CF5CDC"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CF5CDC"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F5CDC" w:rsidRPr="00C31FA9" w:rsidRDefault="00CF5CDC"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CF5CDC" w:rsidRPr="00C31FA9" w:rsidRDefault="00CF5CDC"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CF5CDC" w:rsidRPr="00C31FA9" w:rsidRDefault="00CF5CDC" w:rsidP="00364E7B">
            <w:pPr>
              <w:spacing w:after="0"/>
              <w:ind w:firstLine="360"/>
              <w:jc w:val="both"/>
              <w:rPr>
                <w:rFonts w:ascii="Times New Roman" w:eastAsia="Times New Roman" w:hAnsi="Times New Roman"/>
                <w:color w:val="000000"/>
                <w:sz w:val="20"/>
                <w:szCs w:val="20"/>
                <w:lang w:eastAsia="ru-RU"/>
              </w:rPr>
            </w:pP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в качестве безрисковой ставки доходности применяется ставка Libor1Y.</w:t>
            </w:r>
          </w:p>
          <w:p w:rsidR="00CF5CDC" w:rsidRPr="00C31FA9" w:rsidRDefault="00CF5CDC"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CF5CDC" w:rsidRPr="00C31FA9" w:rsidRDefault="00CF5CDC"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CF5CDC" w:rsidRPr="00C31FA9" w:rsidRDefault="00CF5CDC" w:rsidP="00803591">
            <w:pPr>
              <w:spacing w:after="0"/>
              <w:rPr>
                <w:rFonts w:ascii="Times New Roman" w:eastAsia="Times New Roman" w:hAnsi="Times New Roman"/>
                <w:color w:val="000000"/>
                <w:sz w:val="20"/>
                <w:szCs w:val="20"/>
                <w:lang w:eastAsia="ru-RU"/>
              </w:rPr>
            </w:pPr>
          </w:p>
          <w:p w:rsidR="00CF5CDC" w:rsidRPr="00C31FA9" w:rsidRDefault="00CF5CDC" w:rsidP="00803591">
            <w:pPr>
              <w:spacing w:after="0"/>
              <w:jc w:val="both"/>
              <w:rPr>
                <w:rFonts w:ascii="Times New Roman" w:eastAsia="Times New Roman" w:hAnsi="Times New Roman"/>
                <w:color w:val="000000"/>
                <w:sz w:val="20"/>
                <w:szCs w:val="20"/>
                <w:lang w:eastAsia="ru-RU"/>
              </w:rPr>
            </w:pPr>
          </w:p>
          <w:p w:rsidR="00CF5CDC" w:rsidRPr="00C31FA9" w:rsidRDefault="00F16FD2"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F5CDC" w:rsidRPr="00C31FA9">
              <w:rPr>
                <w:rFonts w:ascii="Times New Roman" w:eastAsia="Times New Roman" w:hAnsi="Times New Roman"/>
                <w:color w:val="000000"/>
                <w:sz w:val="20"/>
                <w:szCs w:val="20"/>
                <w:lang w:eastAsia="ru-RU"/>
              </w:rPr>
              <w:t xml:space="preserve"> - доходность рыночного индикатора;</w:t>
            </w:r>
          </w:p>
          <w:p w:rsidR="00CF5CDC" w:rsidRPr="00C31FA9" w:rsidRDefault="00F16FD2"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CF5CDC" w:rsidRPr="00C31FA9">
              <w:rPr>
                <w:rFonts w:ascii="Times New Roman" w:eastAsia="Times New Roman" w:hAnsi="Times New Roman"/>
                <w:color w:val="000000"/>
                <w:sz w:val="20"/>
                <w:szCs w:val="20"/>
                <w:lang w:eastAsia="ru-RU"/>
              </w:rPr>
              <w:t>,</w:t>
            </w:r>
          </w:p>
          <w:p w:rsidR="00CF5CDC" w:rsidRPr="00C31FA9" w:rsidRDefault="00F16FD2"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CF5CDC"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CF5CDC" w:rsidRPr="00C31FA9" w:rsidRDefault="00F16FD2"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CF5CDC"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CF5CDC" w:rsidRPr="00C31FA9" w:rsidRDefault="00CF5CDC" w:rsidP="00803591">
            <w:pPr>
              <w:spacing w:after="0"/>
              <w:jc w:val="both"/>
              <w:rPr>
                <w:rFonts w:ascii="Times New Roman" w:eastAsia="Times New Roman" w:hAnsi="Times New Roman"/>
                <w:color w:val="000000"/>
                <w:sz w:val="20"/>
                <w:szCs w:val="20"/>
                <w:lang w:eastAsia="ru-RU"/>
              </w:rPr>
            </w:pPr>
          </w:p>
          <w:p w:rsidR="00CF5CDC" w:rsidRPr="00C31FA9" w:rsidRDefault="00CF5CDC"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CF5CDC" w:rsidRPr="00C31FA9" w:rsidRDefault="00CF5CDC"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F5CDC" w:rsidRPr="00C31FA9" w:rsidRDefault="00CF5CDC" w:rsidP="00D4503D">
            <w:pPr>
              <w:spacing w:after="0"/>
              <w:jc w:val="both"/>
              <w:rPr>
                <w:rFonts w:ascii="Times New Roman" w:eastAsia="Times New Roman" w:hAnsi="Times New Roman"/>
                <w:color w:val="000000"/>
                <w:sz w:val="20"/>
                <w:szCs w:val="20"/>
                <w:lang w:eastAsia="ru-RU"/>
              </w:rPr>
            </w:pPr>
          </w:p>
          <w:p w:rsidR="00CF5CDC" w:rsidRPr="00C31FA9" w:rsidRDefault="00CF5CDC"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CF5CDC" w:rsidRPr="00C31FA9" w:rsidRDefault="00CF5CDC" w:rsidP="00D4503D">
            <w:pPr>
              <w:spacing w:after="0"/>
              <w:jc w:val="both"/>
              <w:rPr>
                <w:rFonts w:ascii="Times New Roman" w:eastAsia="Times New Roman" w:hAnsi="Times New Roman"/>
                <w:color w:val="000000"/>
                <w:sz w:val="20"/>
                <w:szCs w:val="20"/>
                <w:lang w:eastAsia="ru-RU"/>
              </w:rPr>
            </w:pPr>
          </w:p>
          <w:p w:rsidR="00CF5CDC" w:rsidRPr="00C31FA9" w:rsidRDefault="00F16FD2"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CF5CDC" w:rsidRPr="00C31FA9" w:rsidRDefault="00CF5CDC" w:rsidP="00D4503D">
            <w:pPr>
              <w:spacing w:after="0"/>
              <w:jc w:val="both"/>
              <w:rPr>
                <w:rFonts w:ascii="Times New Roman" w:eastAsia="Times New Roman" w:hAnsi="Times New Roman"/>
                <w:color w:val="000000"/>
                <w:sz w:val="20"/>
                <w:szCs w:val="20"/>
                <w:lang w:eastAsia="ru-RU"/>
              </w:rPr>
            </w:pP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CF5CDC" w:rsidRPr="00C31FA9">
              <w:rPr>
                <w:rFonts w:ascii="Times New Roman" w:eastAsia="Times New Roman" w:hAnsi="Times New Roman"/>
                <w:color w:val="000000"/>
                <w:sz w:val="20"/>
                <w:szCs w:val="20"/>
                <w:lang w:eastAsia="ru-RU"/>
              </w:rPr>
              <w:t xml:space="preserve"> - доходность актива;</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CF5CDC"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CF5CDC" w:rsidRPr="00C31FA9">
              <w:rPr>
                <w:rFonts w:ascii="Times New Roman" w:eastAsia="Times New Roman" w:hAnsi="Times New Roman"/>
                <w:color w:val="000000"/>
                <w:sz w:val="20"/>
                <w:szCs w:val="20"/>
                <w:lang w:eastAsia="ru-RU"/>
              </w:rPr>
              <w:t>;</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CF5CDC" w:rsidRPr="00C31FA9">
              <w:rPr>
                <w:rFonts w:ascii="Times New Roman" w:eastAsia="Times New Roman" w:hAnsi="Times New Roman"/>
                <w:color w:val="000000"/>
                <w:sz w:val="20"/>
                <w:szCs w:val="20"/>
                <w:lang w:eastAsia="ru-RU"/>
              </w:rPr>
              <w:t xml:space="preserve"> – предыдущая цена закрытия актива;</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F5CDC" w:rsidRPr="00C31FA9">
              <w:rPr>
                <w:rFonts w:ascii="Times New Roman" w:eastAsia="Times New Roman" w:hAnsi="Times New Roman"/>
                <w:color w:val="000000"/>
                <w:sz w:val="20"/>
                <w:szCs w:val="20"/>
                <w:lang w:eastAsia="ru-RU"/>
              </w:rPr>
              <w:t xml:space="preserve"> - доходность рыночного индикатора;</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CF5CDC"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CF5CDC" w:rsidRPr="00C31FA9">
              <w:rPr>
                <w:rFonts w:ascii="Times New Roman" w:eastAsia="Times New Roman" w:hAnsi="Times New Roman"/>
                <w:color w:val="000000"/>
                <w:sz w:val="20"/>
                <w:szCs w:val="20"/>
                <w:lang w:eastAsia="ru-RU"/>
              </w:rPr>
              <w:t>;</w:t>
            </w:r>
          </w:p>
          <w:p w:rsidR="00CF5CDC" w:rsidRPr="00C31FA9" w:rsidRDefault="00F16FD2"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CF5CDC"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CF5CDC" w:rsidRPr="00C31FA9" w:rsidRDefault="00CF5CDC"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CF5CDC" w:rsidRPr="00C31FA9" w:rsidRDefault="00CF5CDC" w:rsidP="00364E7B">
            <w:pPr>
              <w:spacing w:after="0"/>
              <w:jc w:val="both"/>
              <w:rPr>
                <w:rFonts w:ascii="Times New Roman" w:eastAsia="Times New Roman" w:hAnsi="Times New Roman"/>
                <w:color w:val="000000"/>
                <w:sz w:val="20"/>
                <w:szCs w:val="20"/>
                <w:lang w:eastAsia="ru-RU"/>
              </w:rPr>
            </w:pPr>
          </w:p>
          <w:p w:rsidR="00CF5CDC" w:rsidRPr="00C31FA9" w:rsidRDefault="00CF5CDC"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CF5CDC" w:rsidRPr="00C31FA9" w:rsidRDefault="00CF5CDC"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CF5CDC" w:rsidRPr="00C31FA9" w:rsidRDefault="00CF5CDC"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CF5CDC" w:rsidRPr="00C31FA9" w:rsidRDefault="00CF5CDC"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CF5CDC" w:rsidRPr="00C31FA9" w:rsidRDefault="00CF5CDC" w:rsidP="00364E7B">
            <w:pPr>
              <w:spacing w:after="0"/>
              <w:jc w:val="both"/>
              <w:rPr>
                <w:rFonts w:ascii="Times New Roman" w:eastAsia="Times New Roman" w:hAnsi="Times New Roman"/>
                <w:color w:val="000000"/>
                <w:sz w:val="20"/>
                <w:szCs w:val="20"/>
                <w:lang w:eastAsia="ru-RU"/>
              </w:rPr>
            </w:pPr>
          </w:p>
          <w:p w:rsidR="00CF5CDC" w:rsidRPr="00C31FA9" w:rsidRDefault="00CF5CDC"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CF5CDC" w:rsidRPr="00C31FA9" w:rsidRDefault="00CF5CDC"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CF5CDC" w:rsidRPr="00C31FA9" w:rsidRDefault="00CF5CDC"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CF5CDC" w:rsidRPr="00C31FA9" w:rsidRDefault="00CF5CDC"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CF5CDC" w:rsidRPr="00C31FA9" w:rsidRDefault="00CF5CDC"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CF5CDC" w:rsidRPr="00C31FA9" w:rsidRDefault="00CF5CDC" w:rsidP="00921B43">
            <w:pPr>
              <w:spacing w:after="0"/>
              <w:ind w:left="360"/>
              <w:jc w:val="both"/>
              <w:rPr>
                <w:rFonts w:ascii="Times New Roman" w:eastAsia="Times New Roman" w:hAnsi="Times New Roman"/>
                <w:color w:val="000000"/>
                <w:sz w:val="20"/>
                <w:szCs w:val="20"/>
                <w:lang w:eastAsia="ru-RU"/>
              </w:rPr>
            </w:pPr>
          </w:p>
          <w:p w:rsidR="00CF5CDC" w:rsidRPr="00C31FA9" w:rsidRDefault="00CF5CDC"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CF5CDC" w:rsidRPr="00C31FA9" w:rsidRDefault="00CF5CDC" w:rsidP="00A77892">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CF5CDC" w:rsidRPr="00C31FA9" w:rsidRDefault="00CF5CDC"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CF5CDC" w:rsidRPr="00C31FA9" w:rsidRDefault="00CF5CDC"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CF5CDC" w:rsidRPr="00C31FA9" w:rsidRDefault="00CF5CDC"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номинированный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CF5CDC" w:rsidRPr="00C31FA9" w:rsidRDefault="00CF5CDC"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CF5CDC" w:rsidRDefault="00CF5CDC"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CF5CDC" w:rsidRPr="00C31FA9" w:rsidRDefault="00CF5CDC"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p w:rsidR="00CF5CDC" w:rsidRPr="00C31FA9" w:rsidRDefault="00CF5CDC" w:rsidP="008B048D">
            <w:pPr>
              <w:pStyle w:val="ac"/>
              <w:spacing w:after="0" w:line="240" w:lineRule="auto"/>
              <w:ind w:left="0" w:firstLine="425"/>
              <w:jc w:val="both"/>
              <w:rPr>
                <w:rFonts w:ascii="Times New Roman" w:eastAsia="Times New Roman" w:hAnsi="Times New Roman"/>
                <w:color w:val="000000"/>
                <w:sz w:val="20"/>
                <w:szCs w:val="20"/>
                <w:lang w:eastAsia="ru-RU"/>
              </w:rPr>
            </w:pPr>
          </w:p>
        </w:tc>
      </w:tr>
      <w:tr w:rsidR="004001CC" w:rsidRPr="00C31FA9" w:rsidTr="00702539">
        <w:tc>
          <w:tcPr>
            <w:tcW w:w="2935" w:type="dxa"/>
          </w:tcPr>
          <w:p w:rsidR="004001CC" w:rsidRPr="00C31FA9" w:rsidRDefault="004001CC" w:rsidP="007548A0">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4001CC" w:rsidRPr="008E40EB" w:rsidRDefault="004001CC" w:rsidP="002457E0">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4001CC" w:rsidRPr="00C31FA9" w:rsidRDefault="004001CC" w:rsidP="002457E0">
            <w:pPr>
              <w:pStyle w:val="ac"/>
              <w:spacing w:after="0" w:line="240" w:lineRule="auto"/>
              <w:ind w:left="0" w:firstLine="466"/>
              <w:rPr>
                <w:rFonts w:ascii="Times New Roman" w:hAnsi="Times New Roman"/>
                <w:sz w:val="20"/>
                <w:szCs w:val="20"/>
              </w:rPr>
            </w:pPr>
          </w:p>
        </w:tc>
      </w:tr>
      <w:tr w:rsidR="004001CC" w:rsidRPr="00C31FA9" w:rsidTr="00702539">
        <w:trPr>
          <w:trHeight w:val="1702"/>
        </w:trPr>
        <w:tc>
          <w:tcPr>
            <w:tcW w:w="2935" w:type="dxa"/>
            <w:tcBorders>
              <w:bottom w:val="single" w:sz="4" w:space="0" w:color="auto"/>
            </w:tcBorders>
          </w:tcPr>
          <w:p w:rsidR="004001CC" w:rsidRPr="00C31FA9" w:rsidRDefault="004001CC"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4001CC" w:rsidRPr="00C31FA9" w:rsidRDefault="004001CC"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4001CC" w:rsidRPr="00C31FA9" w:rsidRDefault="004001CC"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4001CC" w:rsidRPr="00C31FA9" w:rsidRDefault="004001CC" w:rsidP="002E4D78">
            <w:pPr>
              <w:pStyle w:val="ac"/>
              <w:spacing w:after="0"/>
              <w:ind w:left="0"/>
              <w:jc w:val="both"/>
              <w:rPr>
                <w:rFonts w:ascii="Times New Roman" w:hAnsi="Times New Roman"/>
                <w:sz w:val="20"/>
                <w:szCs w:val="20"/>
              </w:rPr>
            </w:pPr>
          </w:p>
        </w:tc>
      </w:tr>
      <w:tr w:rsidR="004001CC" w:rsidRPr="00C31FA9" w:rsidTr="00702539">
        <w:trPr>
          <w:trHeight w:val="1702"/>
        </w:trPr>
        <w:tc>
          <w:tcPr>
            <w:tcW w:w="2935" w:type="dxa"/>
            <w:tcBorders>
              <w:bottom w:val="single" w:sz="4" w:space="0" w:color="auto"/>
            </w:tcBorders>
          </w:tcPr>
          <w:p w:rsidR="004001CC" w:rsidRPr="00C31FA9" w:rsidRDefault="004001CC"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4001CC" w:rsidRPr="00C31FA9" w:rsidRDefault="004001CC"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4001CC" w:rsidRPr="00C31FA9" w:rsidTr="00CA3418">
        <w:trPr>
          <w:trHeight w:val="1498"/>
        </w:trPr>
        <w:tc>
          <w:tcPr>
            <w:tcW w:w="2935" w:type="dxa"/>
            <w:tcBorders>
              <w:bottom w:val="single" w:sz="4" w:space="0" w:color="auto"/>
            </w:tcBorders>
          </w:tcPr>
          <w:p w:rsidR="004001CC" w:rsidRPr="00C31FA9" w:rsidRDefault="004001CC"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4001CC" w:rsidRPr="00C31FA9" w:rsidRDefault="004001CC"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  </w:t>
            </w:r>
          </w:p>
        </w:tc>
      </w:tr>
      <w:tr w:rsidR="004001CC" w:rsidRPr="00C31FA9" w:rsidTr="00702539">
        <w:tc>
          <w:tcPr>
            <w:tcW w:w="13646" w:type="dxa"/>
            <w:gridSpan w:val="2"/>
            <w:tcBorders>
              <w:left w:val="nil"/>
              <w:bottom w:val="single" w:sz="4" w:space="0" w:color="auto"/>
              <w:right w:val="nil"/>
            </w:tcBorders>
          </w:tcPr>
          <w:p w:rsidR="004001CC" w:rsidRPr="00C31FA9" w:rsidRDefault="004001CC" w:rsidP="002E4D78">
            <w:pPr>
              <w:spacing w:after="0"/>
              <w:jc w:val="center"/>
              <w:rPr>
                <w:rFonts w:ascii="Times New Roman" w:hAnsi="Times New Roman"/>
                <w:bCs/>
                <w:i/>
                <w:iCs/>
                <w:color w:val="943634" w:themeColor="accent2" w:themeShade="BF"/>
                <w:sz w:val="20"/>
                <w:szCs w:val="20"/>
              </w:rPr>
            </w:pPr>
          </w:p>
          <w:p w:rsidR="004001CC" w:rsidRPr="00C31FA9" w:rsidRDefault="004001CC"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не определяется активный рынок и отсутствуют наблюдаемые данные (3-й уровень)</w:t>
            </w:r>
          </w:p>
        </w:tc>
      </w:tr>
      <w:tr w:rsidR="004001CC" w:rsidRPr="00C31FA9" w:rsidTr="00702539">
        <w:tc>
          <w:tcPr>
            <w:tcW w:w="2935" w:type="dxa"/>
            <w:shd w:val="clear" w:color="auto" w:fill="A6A6A6" w:themeFill="background1" w:themeFillShade="A6"/>
          </w:tcPr>
          <w:p w:rsidR="004001CC" w:rsidRPr="00C31FA9" w:rsidRDefault="004001CC"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4001CC" w:rsidRPr="00C31FA9" w:rsidRDefault="004001CC"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4001CC" w:rsidRPr="00C31FA9" w:rsidTr="00702539">
        <w:tc>
          <w:tcPr>
            <w:tcW w:w="2935" w:type="dxa"/>
          </w:tcPr>
          <w:p w:rsidR="004001CC" w:rsidRPr="00C31FA9" w:rsidRDefault="004001C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4001CC" w:rsidRPr="00C31FA9" w:rsidRDefault="004001CC">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4001CC" w:rsidRPr="00C31FA9" w:rsidTr="00EF342F">
        <w:tc>
          <w:tcPr>
            <w:tcW w:w="2935" w:type="dxa"/>
            <w:tcBorders>
              <w:bottom w:val="single" w:sz="4" w:space="0" w:color="auto"/>
            </w:tcBorders>
          </w:tcPr>
          <w:p w:rsidR="004001CC" w:rsidRPr="00C31FA9" w:rsidRDefault="004001CC"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4001CC" w:rsidRDefault="004001CC"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номинированный в рублях</w:t>
            </w:r>
            <w:r>
              <w:rPr>
                <w:rFonts w:ascii="Times New Roman" w:hAnsi="Times New Roman"/>
                <w:sz w:val="20"/>
                <w:szCs w:val="20"/>
              </w:rPr>
              <w:t>:</w:t>
            </w:r>
          </w:p>
          <w:p w:rsidR="004001CC" w:rsidRDefault="004001CC"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4001CC" w:rsidRDefault="004001CC"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4001CC" w:rsidRPr="00C31FA9" w:rsidRDefault="004001CC"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4001CC"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4001CC" w:rsidRPr="00C31FA9" w:rsidRDefault="004001CC" w:rsidP="002E4D78">
            <w:pPr>
              <w:pStyle w:val="ac"/>
              <w:spacing w:after="0"/>
              <w:ind w:left="0"/>
              <w:jc w:val="center"/>
              <w:rPr>
                <w:rFonts w:ascii="Times New Roman" w:hAnsi="Times New Roman"/>
                <w:bCs/>
                <w:i/>
                <w:iCs/>
                <w:color w:val="943634" w:themeColor="accent2" w:themeShade="BF"/>
                <w:sz w:val="20"/>
                <w:szCs w:val="20"/>
              </w:rPr>
            </w:pPr>
          </w:p>
          <w:p w:rsidR="004001CC" w:rsidRPr="00C31FA9" w:rsidRDefault="004001CC"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4001CC" w:rsidRPr="00C31FA9" w:rsidDel="00F42424" w:rsidTr="00EF342F">
        <w:tc>
          <w:tcPr>
            <w:tcW w:w="2935" w:type="dxa"/>
            <w:tcBorders>
              <w:top w:val="single" w:sz="4" w:space="0" w:color="auto"/>
            </w:tcBorders>
            <w:shd w:val="clear" w:color="auto" w:fill="A6A6A6" w:themeFill="background1" w:themeFillShade="A6"/>
          </w:tcPr>
          <w:p w:rsidR="004001CC" w:rsidRPr="00C31FA9" w:rsidDel="00F42424" w:rsidRDefault="004001CC"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4001CC" w:rsidRPr="00C31FA9" w:rsidDel="00F42424" w:rsidRDefault="004001CC"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4001CC" w:rsidRPr="00C31FA9" w:rsidDel="00F42424" w:rsidTr="00702539">
        <w:tc>
          <w:tcPr>
            <w:tcW w:w="2935" w:type="dxa"/>
          </w:tcPr>
          <w:p w:rsidR="004001CC" w:rsidRPr="00C31FA9" w:rsidDel="00F42424" w:rsidRDefault="004001CC"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4001CC" w:rsidRPr="00C31FA9" w:rsidRDefault="004001CC"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с моделям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4001CC" w:rsidRPr="00C31FA9" w:rsidRDefault="004001CC" w:rsidP="002E4D78">
            <w:pPr>
              <w:pStyle w:val="ac"/>
              <w:spacing w:after="0" w:line="240" w:lineRule="auto"/>
              <w:ind w:left="34" w:firstLine="433"/>
              <w:jc w:val="both"/>
              <w:rPr>
                <w:rFonts w:ascii="Times New Roman" w:eastAsia="Times New Roman" w:hAnsi="Times New Roman"/>
                <w:iCs/>
                <w:sz w:val="20"/>
                <w:szCs w:val="20"/>
                <w:lang w:eastAsia="ru-RU"/>
              </w:rPr>
            </w:pPr>
          </w:p>
          <w:p w:rsidR="004001CC" w:rsidRPr="00C31FA9" w:rsidDel="00F42424" w:rsidRDefault="004001CC"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4001CC" w:rsidRPr="00C31FA9" w:rsidDel="00F42424" w:rsidRDefault="004001CC" w:rsidP="00BB0FBC">
            <w:pPr>
              <w:spacing w:after="0" w:line="240" w:lineRule="auto"/>
              <w:ind w:left="34"/>
              <w:jc w:val="both"/>
              <w:rPr>
                <w:rFonts w:ascii="Times New Roman" w:hAnsi="Times New Roman"/>
                <w:sz w:val="20"/>
                <w:szCs w:val="20"/>
              </w:rPr>
            </w:pPr>
          </w:p>
        </w:tc>
      </w:tr>
      <w:tr w:rsidR="004001CC" w:rsidRPr="00C31FA9" w:rsidDel="00F42424" w:rsidTr="00702539">
        <w:tc>
          <w:tcPr>
            <w:tcW w:w="2935" w:type="dxa"/>
          </w:tcPr>
          <w:p w:rsidR="004001CC" w:rsidRPr="00C31FA9" w:rsidDel="00F42424" w:rsidRDefault="004001CC"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4001CC" w:rsidRPr="00C31FA9" w:rsidRDefault="004001CC"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4001CC" w:rsidRPr="00C31FA9" w:rsidDel="00F42424" w:rsidRDefault="004001CC"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4001CC" w:rsidRPr="00C31FA9" w:rsidDel="00F42424" w:rsidRDefault="004001CC"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4001CC" w:rsidRPr="00C31FA9"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4001CC" w:rsidRPr="00C31FA9"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4001CC" w:rsidRPr="00C31FA9"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4001CC" w:rsidRPr="00C31FA9" w:rsidDel="00F42424" w:rsidRDefault="004001CC"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4001CC" w:rsidRPr="00C31FA9" w:rsidRDefault="004001CC"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4001CC" w:rsidRPr="00C31FA9" w:rsidDel="00F42424" w:rsidRDefault="004001CC"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Афинская биржа (Athens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Венская фондовая биржа (Vienna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ТиЭсЭкс (Канада) (TSX Venture Exchange (Canada));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Дубайская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Евронекст Амстердам (Euronext Amsterdam);</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Брюссель (Euronext Brussels);</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Лиссабон (Euronext Lisbon);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Лондон (Euronext London);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Париж (Euronext Paris);</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(Irish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(Borsa Italiana));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Иоханнесбургская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КейАрЭкс</w:t>
      </w:r>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Таллин</w:t>
      </w:r>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(National Stock Exchange of India);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Нью-Йоркская фондовая биржа Арка (NYSE Area);</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Bonds);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Осакская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(Borsa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Украинская биржа (Ukrainian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(Barcelona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(Bilbao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БиЭм Энд Эф Бовеспа (Бразилия) (BM&amp;F BOVESPA (Brasil));</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(Buenos Aires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(Valencia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ГреТай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(GreTai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Bors));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Тадавул</w:t>
      </w:r>
      <w:r w:rsidRPr="009722A4">
        <w:rPr>
          <w:rFonts w:ascii="Times New Roman" w:hAnsi="Times New Roman"/>
          <w:color w:val="000000"/>
          <w:sz w:val="24"/>
          <w:szCs w:val="24"/>
          <w:lang w:val="en-US"/>
        </w:rPr>
        <w:t>) (Saudi Stock Exchange (Tadawul));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Тель</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Авива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ТиЭйЭсИ</w:t>
      </w:r>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(Toronto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(Hochiminh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ЭйЭсЭкс (Австралия) (ASX (Australia));</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ЭнЗэдЭкс (Новая Зеландия) (NZX (New Zealand));</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(Frankfurt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(СиЭйчЭкс) (Chicago Stock Exchange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(Shanghai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ЭсАйЭкс (SIX Swiss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Шенженьская фондовая биржа (Shenzhen Stock Exchange).</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3"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3"/>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34051499"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N - количество денежных потоков до даты погашения актива (обязательства), начиная с даты определения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34051500"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n - порядковый номер денежного потока, начиная с даты определения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34051501"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с даты </w:t>
      </w:r>
      <w:r w:rsidR="000611F0" w:rsidRPr="00C31FA9">
        <w:rPr>
          <w:rFonts w:ascii="Times New Roman" w:hAnsi="Times New Roman"/>
        </w:rPr>
        <w:t>вступления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4"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справедливой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4"/>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52655E" w:rsidRDefault="0052655E" w:rsidP="0052655E">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F16FD2"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F16FD2"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F16FD2"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F16FD2"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F16FD2"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F16FD2"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F16FD2"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F16FD2"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Рейтинговое агентство Fitch Ratings</w:t>
            </w:r>
          </w:p>
        </w:tc>
        <w:tc>
          <w:tcPr>
            <w:tcW w:w="3526" w:type="dxa"/>
          </w:tcPr>
          <w:p w:rsidR="00314FB7" w:rsidRPr="00D165D1" w:rsidRDefault="00F16FD2"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F16FD2"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F16FD2"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F16FD2"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Moody's Investors Service</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Standard &amp; Poor's</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Fitch Ratings</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F16FD2"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F16FD2"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N - количество денежных потоков до даты погашения актива (обязательства), начиная с даты определения СЧА;</w:t>
      </w:r>
    </w:p>
    <w:p w:rsidR="00314FB7" w:rsidRPr="00D165D1" w:rsidRDefault="00F16FD2"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n - порядковый номер денежного потока, начиная с даты определения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34051502"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F16FD2"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(expected credit losses)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(Probability of Default,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F16FD2"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F16FD2"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Moody's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r w:rsidRPr="00D165D1">
        <w:rPr>
          <w:rFonts w:ascii="Times New Roman" w:hAnsi="Times New Roman"/>
          <w:szCs w:val="24"/>
          <w:lang w:val="en-US"/>
        </w:rPr>
        <w:t>tandart</w:t>
      </w:r>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Fitch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 xml:space="preserve">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найденных.</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Moody`s</w:t>
            </w:r>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Fitch</w:t>
            </w:r>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Ваа1</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Ваа2</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ruAAA</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ruAA+, ruAA</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Ва1</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ruAA-, ruA+</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Ва2</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 ruA-, ruBBB+</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ruBBB</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В1</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ruBBB-, ruBB+</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В2</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ruBB</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Caa, Ca,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Тикер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Тикер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Тикер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Ваа2</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Ва2</w:t>
            </w:r>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A97BD3" w:rsidRDefault="00A97BD3" w:rsidP="00A97BD3">
      <w:pPr>
        <w:pStyle w:val="ac"/>
        <w:spacing w:after="0" w:line="360" w:lineRule="auto"/>
        <w:jc w:val="both"/>
        <w:rPr>
          <w:rFonts w:ascii="Times New Roman" w:hAnsi="Times New Roman"/>
          <w:b/>
          <w:szCs w:val="24"/>
        </w:rPr>
      </w:pPr>
    </w:p>
    <w:p w:rsidR="00314FB7" w:rsidRPr="00D165D1" w:rsidRDefault="00314FB7" w:rsidP="00A97BD3">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Индивидуальная методика</w:t>
      </w:r>
      <w:r w:rsidRPr="00D165D1">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D165D1">
        <w:rPr>
          <w:rFonts w:ascii="Times New Roman" w:hAnsi="Times New Roman"/>
          <w:szCs w:val="24"/>
          <w:lang w:val="en-US"/>
        </w:rPr>
        <w:t>PD</w:t>
      </w:r>
      <w:r w:rsidRPr="00D165D1">
        <w:rPr>
          <w:rFonts w:ascii="Times New Roman" w:hAnsi="Times New Roman"/>
          <w:szCs w:val="24"/>
        </w:rPr>
        <w:t>)  и ожидаемых потерь (</w:t>
      </w:r>
      <w:r w:rsidRPr="00D165D1">
        <w:rPr>
          <w:rFonts w:ascii="Times New Roman" w:hAnsi="Times New Roman"/>
          <w:szCs w:val="24"/>
          <w:lang w:val="en-US"/>
        </w:rPr>
        <w:t>LGD</w:t>
      </w:r>
      <w:r w:rsidRPr="00D165D1">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позднее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A97BD3" w:rsidRPr="00D165D1" w:rsidTr="005E571C">
        <w:trPr>
          <w:trHeight w:val="932"/>
        </w:trPr>
        <w:tc>
          <w:tcPr>
            <w:tcW w:w="3096"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A97BD3" w:rsidRPr="00D165D1" w:rsidRDefault="00A97BD3" w:rsidP="002457E0">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A97BD3" w:rsidRPr="00D165D1" w:rsidRDefault="00A97BD3" w:rsidP="002457E0">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A97BD3" w:rsidRPr="00D165D1" w:rsidTr="005E571C">
        <w:trPr>
          <w:trHeight w:val="833"/>
        </w:trPr>
        <w:tc>
          <w:tcPr>
            <w:tcW w:w="3096"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A97BD3" w:rsidRPr="00D165D1" w:rsidRDefault="00A97BD3" w:rsidP="002457E0">
            <w:pPr>
              <w:spacing w:line="360" w:lineRule="auto"/>
              <w:jc w:val="right"/>
              <w:rPr>
                <w:rFonts w:ascii="Times New Roman" w:hAnsi="Times New Roman"/>
                <w:sz w:val="20"/>
                <w:szCs w:val="20"/>
              </w:rPr>
            </w:pPr>
          </w:p>
          <w:p w:rsidR="00A97BD3" w:rsidRPr="00D165D1" w:rsidRDefault="00A97BD3" w:rsidP="002457E0">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A97BD3" w:rsidRPr="00D165D1" w:rsidRDefault="00A97BD3" w:rsidP="002457E0">
            <w:pPr>
              <w:jc w:val="center"/>
              <w:rPr>
                <w:rFonts w:ascii="Times New Roman" w:hAnsi="Times New Roman"/>
                <w:sz w:val="20"/>
                <w:szCs w:val="20"/>
              </w:rPr>
            </w:pP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0,00</w:t>
            </w:r>
          </w:p>
        </w:tc>
      </w:tr>
      <w:tr w:rsidR="00A97BD3" w:rsidRPr="00D165D1" w:rsidTr="005E571C">
        <w:trPr>
          <w:trHeight w:val="919"/>
        </w:trPr>
        <w:tc>
          <w:tcPr>
            <w:tcW w:w="3096" w:type="dxa"/>
            <w:shd w:val="clear" w:color="auto" w:fill="auto"/>
          </w:tcPr>
          <w:p w:rsidR="00A97BD3" w:rsidRPr="00D165D1" w:rsidRDefault="00A97BD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A97BD3" w:rsidRPr="00D165D1" w:rsidRDefault="00A97BD3" w:rsidP="005E571C">
            <w:pPr>
              <w:jc w:val="center"/>
              <w:rPr>
                <w:rFonts w:ascii="Times New Roman" w:hAnsi="Times New Roman"/>
                <w:sz w:val="20"/>
                <w:szCs w:val="20"/>
              </w:rPr>
            </w:pPr>
          </w:p>
        </w:tc>
        <w:tc>
          <w:tcPr>
            <w:tcW w:w="2410" w:type="dxa"/>
            <w:shd w:val="clear" w:color="auto" w:fill="auto"/>
          </w:tcPr>
          <w:p w:rsidR="00A97BD3" w:rsidRPr="00D165D1" w:rsidRDefault="00A97BD3" w:rsidP="005E571C">
            <w:pPr>
              <w:jc w:val="center"/>
              <w:rPr>
                <w:rFonts w:ascii="Times New Roman" w:hAnsi="Times New Roman"/>
                <w:sz w:val="20"/>
                <w:szCs w:val="20"/>
              </w:rPr>
            </w:pPr>
            <w:r w:rsidRPr="00D165D1">
              <w:rPr>
                <w:rFonts w:ascii="Times New Roman" w:hAnsi="Times New Roman"/>
                <w:sz w:val="20"/>
                <w:szCs w:val="20"/>
              </w:rPr>
              <w:t>0,00</w:t>
            </w:r>
          </w:p>
        </w:tc>
      </w:tr>
      <w:tr w:rsidR="00A97BD3" w:rsidRPr="00D165D1" w:rsidTr="005E571C">
        <w:trPr>
          <w:trHeight w:val="835"/>
        </w:trPr>
        <w:tc>
          <w:tcPr>
            <w:tcW w:w="3096" w:type="dxa"/>
            <w:shd w:val="clear" w:color="auto" w:fill="auto"/>
          </w:tcPr>
          <w:p w:rsidR="00A97BD3" w:rsidRPr="00D165D1" w:rsidRDefault="00A97BD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A97BD3" w:rsidRPr="00D165D1" w:rsidRDefault="00A97BD3" w:rsidP="005E571C">
            <w:pPr>
              <w:jc w:val="center"/>
              <w:rPr>
                <w:rFonts w:ascii="Times New Roman" w:hAnsi="Times New Roman"/>
                <w:sz w:val="20"/>
                <w:szCs w:val="20"/>
              </w:rPr>
            </w:pPr>
          </w:p>
        </w:tc>
        <w:tc>
          <w:tcPr>
            <w:tcW w:w="2410" w:type="dxa"/>
            <w:shd w:val="clear" w:color="auto" w:fill="auto"/>
          </w:tcPr>
          <w:p w:rsidR="00A97BD3" w:rsidRPr="00D165D1" w:rsidRDefault="00A97BD3" w:rsidP="005E571C">
            <w:pPr>
              <w:jc w:val="center"/>
              <w:rPr>
                <w:rFonts w:ascii="Times New Roman" w:hAnsi="Times New Roman"/>
                <w:sz w:val="20"/>
                <w:szCs w:val="20"/>
              </w:rPr>
            </w:pPr>
            <w:r w:rsidRPr="00D165D1">
              <w:rPr>
                <w:rFonts w:ascii="Times New Roman" w:hAnsi="Times New Roman"/>
                <w:sz w:val="20"/>
                <w:szCs w:val="20"/>
              </w:rPr>
              <w:t>0,01</w:t>
            </w:r>
          </w:p>
        </w:tc>
      </w:tr>
      <w:tr w:rsidR="00A97BD3" w:rsidRPr="00D165D1" w:rsidTr="005E571C">
        <w:trPr>
          <w:trHeight w:val="2040"/>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 xml:space="preserve"> 0,01</w:t>
            </w:r>
          </w:p>
        </w:tc>
      </w:tr>
      <w:tr w:rsidR="00A97BD3" w:rsidRPr="00D165D1" w:rsidTr="005E571C">
        <w:trPr>
          <w:trHeight w:val="1734"/>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r>
      <w:tr w:rsidR="00A97BD3" w:rsidRPr="00D165D1" w:rsidTr="005E571C">
        <w:trPr>
          <w:trHeight w:val="1060"/>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0,01</w:t>
            </w:r>
          </w:p>
        </w:tc>
      </w:tr>
      <w:tr w:rsidR="00A97BD3" w:rsidRPr="00D165D1" w:rsidTr="005E571C">
        <w:trPr>
          <w:trHeight w:val="920"/>
        </w:trPr>
        <w:tc>
          <w:tcPr>
            <w:tcW w:w="3096"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Гражданство, отличное от российского;</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A97BD3" w:rsidRPr="00D165D1" w:rsidTr="005E571C">
        <w:trPr>
          <w:trHeight w:val="1417"/>
        </w:trPr>
        <w:tc>
          <w:tcPr>
            <w:tcW w:w="2235"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A97BD3" w:rsidRPr="00D165D1" w:rsidRDefault="00A97BD3" w:rsidP="002457E0">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A97BD3" w:rsidRPr="00D165D1" w:rsidTr="005E571C">
        <w:trPr>
          <w:trHeight w:val="1220"/>
        </w:trPr>
        <w:tc>
          <w:tcPr>
            <w:tcW w:w="2235"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r>
      <w:tr w:rsidR="00A97BD3" w:rsidRPr="00D165D1" w:rsidTr="005E571C">
        <w:trPr>
          <w:trHeight w:val="1305"/>
        </w:trPr>
        <w:tc>
          <w:tcPr>
            <w:tcW w:w="2235"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r>
      <w:tr w:rsidR="00A97BD3" w:rsidRPr="00D165D1" w:rsidTr="005E571C">
        <w:trPr>
          <w:trHeight w:val="1072"/>
        </w:trPr>
        <w:tc>
          <w:tcPr>
            <w:tcW w:w="2235" w:type="dxa"/>
            <w:shd w:val="clear" w:color="auto" w:fill="auto"/>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97BD3" w:rsidRPr="00D165D1" w:rsidRDefault="00A97BD3" w:rsidP="002457E0">
            <w:pPr>
              <w:jc w:val="center"/>
              <w:rPr>
                <w:rFonts w:ascii="Times New Roman" w:hAnsi="Times New Roman"/>
                <w:sz w:val="20"/>
                <w:szCs w:val="20"/>
                <w:lang w:val="en-US"/>
              </w:rPr>
            </w:pPr>
            <w:r w:rsidRPr="00D165D1">
              <w:rPr>
                <w:rFonts w:ascii="Times New Roman" w:hAnsi="Times New Roman"/>
                <w:sz w:val="20"/>
                <w:szCs w:val="20"/>
                <w:lang w:val="en-US"/>
              </w:rPr>
              <w:t>1</w:t>
            </w:r>
          </w:p>
          <w:p w:rsidR="00A97BD3" w:rsidRPr="00D165D1" w:rsidRDefault="00A97BD3" w:rsidP="002457E0">
            <w:pPr>
              <w:jc w:val="center"/>
              <w:rPr>
                <w:rFonts w:ascii="Times New Roman" w:hAnsi="Times New Roman"/>
                <w:sz w:val="20"/>
                <w:szCs w:val="20"/>
                <w:lang w:val="en-US"/>
              </w:rPr>
            </w:pPr>
          </w:p>
        </w:tc>
      </w:tr>
      <w:tr w:rsidR="00A97BD3" w:rsidRPr="00D165D1" w:rsidTr="005E571C">
        <w:trPr>
          <w:trHeight w:val="2022"/>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p w:rsidR="00A97BD3" w:rsidRPr="00D165D1" w:rsidRDefault="00A97BD3" w:rsidP="002457E0">
            <w:pPr>
              <w:jc w:val="center"/>
              <w:rPr>
                <w:rFonts w:ascii="Times New Roman" w:hAnsi="Times New Roman"/>
                <w:sz w:val="20"/>
                <w:szCs w:val="20"/>
              </w:rPr>
            </w:pP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r w:rsidR="00A97BD3" w:rsidRPr="00D165D1" w:rsidTr="005E571C">
        <w:trPr>
          <w:trHeight w:val="1719"/>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r w:rsidR="00A97BD3" w:rsidRPr="00D165D1" w:rsidTr="005E571C">
        <w:trPr>
          <w:trHeight w:val="1051"/>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r w:rsidR="00A97BD3" w:rsidRPr="00D165D1" w:rsidTr="005E571C">
        <w:trPr>
          <w:trHeight w:val="912"/>
        </w:trPr>
        <w:tc>
          <w:tcPr>
            <w:tcW w:w="2235" w:type="dxa"/>
            <w:shd w:val="clear" w:color="auto" w:fill="auto"/>
            <w:hideMark/>
          </w:tcPr>
          <w:p w:rsidR="00A97BD3" w:rsidRPr="00D165D1" w:rsidRDefault="00A97BD3" w:rsidP="002457E0">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A97BD3" w:rsidRPr="00D165D1" w:rsidRDefault="00A97BD3" w:rsidP="002457E0">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Гражданство, отличное от российского;</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F16FD2"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F16FD2"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F16FD2"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(recovery rate)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средств при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дата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r w:rsidRPr="00C31FA9">
        <w:rPr>
          <w:rFonts w:ascii="Times New Roman" w:hAnsi="Times New Roman"/>
          <w:b/>
        </w:rPr>
        <w:t xml:space="preserve">открытых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52655E" w:rsidRDefault="0052655E" w:rsidP="0052655E">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Справедливая стоимость денежных средств во вкладах, </w:t>
            </w:r>
            <w:r>
              <w:rPr>
                <w:rFonts w:ascii="Times New Roman" w:hAnsi="Times New Roman"/>
                <w:sz w:val="20"/>
                <w:szCs w:val="20"/>
              </w:rPr>
              <w:t>в течение максимального срока, предусмотренного договором,</w:t>
            </w:r>
            <w:r>
              <w:rPr>
                <w:rFonts w:ascii="Times New Roman" w:eastAsia="Times New Roman" w:hAnsi="Times New Roman"/>
                <w:bCs/>
                <w:color w:val="000000"/>
                <w:sz w:val="20"/>
                <w:szCs w:val="20"/>
                <w:lang w:eastAsia="ru-RU"/>
              </w:rPr>
              <w:t xml:space="preserve"> определяется:</w:t>
            </w:r>
          </w:p>
          <w:p w:rsidR="0052655E" w:rsidRDefault="0052655E" w:rsidP="0052655E">
            <w:pPr>
              <w:pStyle w:val="ac"/>
              <w:numPr>
                <w:ilvl w:val="0"/>
                <w:numId w:val="60"/>
              </w:numPr>
              <w:spacing w:after="0" w:line="240" w:lineRule="auto"/>
              <w:ind w:left="284" w:hanging="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Pr>
                <w:rFonts w:ascii="Times New Roman" w:eastAsia="Times New Roman" w:hAnsi="Times New Roman"/>
                <w:b/>
                <w:bCs/>
                <w:sz w:val="20"/>
                <w:szCs w:val="20"/>
                <w:lang w:eastAsia="ru-RU"/>
              </w:rPr>
              <w:t>если срок погашения вклада «до востребования»</w:t>
            </w:r>
            <w:r>
              <w:rPr>
                <w:rFonts w:ascii="Times New Roman" w:eastAsia="Times New Roman" w:hAnsi="Times New Roman"/>
                <w:bCs/>
                <w:color w:val="000000"/>
                <w:sz w:val="20"/>
                <w:szCs w:val="20"/>
                <w:lang w:eastAsia="ru-RU"/>
              </w:rPr>
              <w:t>;</w:t>
            </w:r>
          </w:p>
          <w:p w:rsidR="0052655E" w:rsidRDefault="0052655E" w:rsidP="0052655E">
            <w:pPr>
              <w:pStyle w:val="ac"/>
              <w:numPr>
                <w:ilvl w:val="0"/>
                <w:numId w:val="60"/>
              </w:numPr>
              <w:spacing w:after="0" w:line="240" w:lineRule="auto"/>
              <w:ind w:left="284" w:hanging="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Pr>
                <w:rFonts w:ascii="Times New Roman" w:eastAsia="Times New Roman" w:hAnsi="Times New Roman"/>
                <w:b/>
                <w:bCs/>
                <w:sz w:val="20"/>
                <w:szCs w:val="20"/>
                <w:lang w:eastAsia="ru-RU"/>
              </w:rPr>
              <w:t xml:space="preserve">, если срок погашения вклада не более 1 (Один) года и ставка по договору соответствует рыночной </w:t>
            </w:r>
            <w:r>
              <w:rPr>
                <w:rFonts w:ascii="Times New Roman" w:eastAsia="Times New Roman" w:hAnsi="Times New Roman"/>
                <w:bCs/>
                <w:sz w:val="20"/>
                <w:szCs w:val="20"/>
                <w:lang w:eastAsia="ru-RU"/>
              </w:rPr>
              <w:t xml:space="preserve">на дату определения СЧА. </w:t>
            </w:r>
            <w:r w:rsidRPr="0052655E">
              <w:rPr>
                <w:rStyle w:val="af"/>
                <w:rFonts w:ascii="Times New Roman" w:eastAsia="Times New Roman" w:hAnsi="Times New Roman"/>
                <w:bCs/>
                <w:color w:val="auto"/>
                <w:sz w:val="20"/>
                <w:szCs w:val="20"/>
                <w:u w:val="none"/>
                <w:lang w:eastAsia="ru-RU"/>
              </w:rPr>
              <w:t>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w:t>
            </w:r>
            <w:r>
              <w:rPr>
                <w:rStyle w:val="af"/>
                <w:rFonts w:ascii="Times New Roman" w:eastAsia="Times New Roman" w:hAnsi="Times New Roman"/>
                <w:bCs/>
                <w:sz w:val="20"/>
                <w:szCs w:val="20"/>
                <w:lang w:eastAsia="ru-RU"/>
              </w:rPr>
              <w:t xml:space="preserve">  </w:t>
            </w:r>
            <w:hyperlink r:id="rId114" w:anchor="приложение_5" w:history="1">
              <w:r>
                <w:rPr>
                  <w:rStyle w:val="af"/>
                  <w:rFonts w:ascii="Times New Roman" w:eastAsia="Times New Roman" w:hAnsi="Times New Roman"/>
                  <w:bCs/>
                  <w:sz w:val="20"/>
                  <w:szCs w:val="20"/>
                  <w:lang w:eastAsia="ru-RU"/>
                </w:rPr>
                <w:t>Приложении 5</w:t>
              </w:r>
            </w:hyperlink>
            <w:r>
              <w:rPr>
                <w:rStyle w:val="af"/>
                <w:rFonts w:ascii="Times New Roman" w:eastAsia="Times New Roman" w:hAnsi="Times New Roman"/>
                <w:bCs/>
                <w:sz w:val="20"/>
                <w:szCs w:val="20"/>
                <w:lang w:eastAsia="ru-RU"/>
              </w:rPr>
              <w:t>.</w:t>
            </w:r>
          </w:p>
          <w:p w:rsidR="0052655E" w:rsidRDefault="0052655E" w:rsidP="0052655E">
            <w:pPr>
              <w:pStyle w:val="ac"/>
              <w:numPr>
                <w:ilvl w:val="0"/>
                <w:numId w:val="60"/>
              </w:numPr>
              <w:spacing w:after="0" w:line="240" w:lineRule="auto"/>
              <w:ind w:left="284" w:hanging="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в сумме, </w:t>
            </w:r>
            <w:r>
              <w:rPr>
                <w:rFonts w:ascii="Times New Roman" w:hAnsi="Times New Roman"/>
                <w:sz w:val="20"/>
                <w:szCs w:val="20"/>
              </w:rPr>
              <w:t>определенной с использованием метода приведенной стоимости будущих денежных потоков на весь срок вклада (</w:t>
            </w:r>
            <w:hyperlink r:id="rId115" w:anchor="приложение_5" w:history="1">
              <w:r>
                <w:rPr>
                  <w:rStyle w:val="af"/>
                  <w:rFonts w:ascii="Times New Roman" w:hAnsi="Times New Roman"/>
                  <w:sz w:val="20"/>
                  <w:szCs w:val="20"/>
                </w:rPr>
                <w:t>Приложение 5</w:t>
              </w:r>
            </w:hyperlink>
            <w:r>
              <w:rPr>
                <w:rFonts w:ascii="Times New Roman" w:hAnsi="Times New Roman"/>
                <w:sz w:val="20"/>
                <w:szCs w:val="20"/>
              </w:rPr>
              <w:t xml:space="preserve">) </w:t>
            </w:r>
            <w:r>
              <w:rPr>
                <w:rFonts w:ascii="Times New Roman" w:hAnsi="Times New Roman"/>
                <w:b/>
                <w:sz w:val="20"/>
                <w:szCs w:val="20"/>
              </w:rPr>
              <w:t xml:space="preserve">в иных случаях. </w:t>
            </w:r>
            <w:r>
              <w:rPr>
                <w:rFonts w:ascii="Times New Roman" w:hAnsi="Times New Roman"/>
                <w:sz w:val="20"/>
                <w:szCs w:val="20"/>
              </w:rPr>
              <w:t>При этом</w:t>
            </w:r>
            <w:r>
              <w:rPr>
                <w:rFonts w:ascii="Times New Roman" w:hAnsi="Times New Roman"/>
                <w:b/>
                <w:sz w:val="20"/>
                <w:szCs w:val="20"/>
              </w:rPr>
              <w:t xml:space="preserve"> </w:t>
            </w:r>
            <w:r>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договора банковского вклада на дату оценки.</w:t>
            </w:r>
          </w:p>
          <w:p w:rsidR="0052655E" w:rsidRDefault="0052655E" w:rsidP="0052655E">
            <w:pPr>
              <w:pStyle w:val="ac"/>
              <w:spacing w:after="0" w:line="240" w:lineRule="auto"/>
              <w:ind w:left="284"/>
              <w:jc w:val="both"/>
              <w:rPr>
                <w:rFonts w:ascii="Times New Roman" w:eastAsia="Times New Roman" w:hAnsi="Times New Roman"/>
                <w:bCs/>
                <w:color w:val="000000"/>
                <w:sz w:val="20"/>
                <w:szCs w:val="20"/>
                <w:lang w:eastAsia="ru-RU"/>
              </w:rPr>
            </w:pPr>
          </w:p>
          <w:p w:rsidR="0052655E" w:rsidRDefault="0052655E" w:rsidP="0052655E">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В случае внесения изменения в </w:t>
            </w:r>
            <w:r>
              <w:rPr>
                <w:rFonts w:ascii="Times New Roman" w:hAnsi="Times New Roman"/>
                <w:sz w:val="20"/>
                <w:szCs w:val="20"/>
              </w:rPr>
              <w:t>условия определения срока</w:t>
            </w:r>
            <w:r>
              <w:rPr>
                <w:rFonts w:ascii="Times New Roman" w:eastAsia="Times New Roman" w:hAnsi="Times New Roman"/>
                <w:bCs/>
                <w:color w:val="000000"/>
                <w:sz w:val="20"/>
                <w:szCs w:val="20"/>
                <w:lang w:eastAsia="ru-RU"/>
              </w:rPr>
              <w:t xml:space="preserve"> договора </w:t>
            </w:r>
            <w:r>
              <w:rPr>
                <w:rFonts w:ascii="Times New Roman" w:hAnsi="Times New Roman"/>
                <w:sz w:val="20"/>
                <w:szCs w:val="20"/>
              </w:rPr>
              <w:t>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ризнается равной 0 (Ноль) с даты</w:t>
            </w:r>
            <w:r w:rsidRPr="00C31FA9">
              <w:rPr>
                <w:rFonts w:eastAsia="Times New Roman"/>
                <w:b w:val="0"/>
                <w:bCs/>
                <w:i w:val="0"/>
                <w:color w:val="000000"/>
                <w:sz w:val="20"/>
                <w:szCs w:val="20"/>
              </w:rPr>
              <w:t xml:space="preserve"> решения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Ценные бумаги, в т.ч.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цена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r w:rsidR="00C1736C" w:rsidRPr="00C31FA9">
              <w:rPr>
                <w:rFonts w:ascii="Times New Roman" w:hAnsi="Times New Roman"/>
                <w:sz w:val="20"/>
                <w:szCs w:val="20"/>
              </w:rPr>
              <w:t xml:space="preserve">с даты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r w:rsidR="00CD457F" w:rsidRPr="00C31FA9">
              <w:rPr>
                <w:rFonts w:ascii="Times New Roman" w:eastAsia="Times New Roman" w:hAnsi="Times New Roman"/>
                <w:bCs/>
                <w:color w:val="000000"/>
                <w:sz w:val="20"/>
                <w:szCs w:val="20"/>
                <w:lang w:eastAsia="ru-RU"/>
              </w:rPr>
              <w:t>с даты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 xml:space="preserve">обязательства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пп.</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пп.а.</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с даты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признается равной 0 (Ноль) с даты решения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r w:rsidR="00DE7169" w:rsidRPr="00C31FA9">
              <w:rPr>
                <w:rFonts w:ascii="Times New Roman" w:eastAsia="Times New Roman" w:hAnsi="Times New Roman"/>
                <w:bCs/>
                <w:sz w:val="20"/>
                <w:szCs w:val="20"/>
                <w:lang w:eastAsia="ru-RU"/>
              </w:rPr>
              <w:t>Блумберг</w:t>
            </w:r>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 xml:space="preserve">(Bloomberg)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r w:rsidRPr="00C31FA9">
              <w:rPr>
                <w:rFonts w:ascii="Times New Roman" w:eastAsia="Times New Roman" w:hAnsi="Times New Roman"/>
                <w:bCs/>
                <w:sz w:val="20"/>
                <w:szCs w:val="20"/>
                <w:lang w:eastAsia="ru-RU"/>
              </w:rPr>
              <w:t>Блумберг</w:t>
            </w:r>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(Bloomberg)</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из</w:t>
            </w:r>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r w:rsidR="008B1112" w:rsidRPr="00C31FA9">
              <w:rPr>
                <w:rFonts w:ascii="Times New Roman" w:hAnsi="Times New Roman"/>
                <w:sz w:val="20"/>
                <w:szCs w:val="20"/>
              </w:rPr>
              <w:t xml:space="preserve">с даты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находящиеся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с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 Т+</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 Т+</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 Т+</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 Т+</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 Т+</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 Т+</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указанными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указанными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C31FA9" w:rsidRDefault="003674B4" w:rsidP="003674B4">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3674B4" w:rsidRDefault="003674B4" w:rsidP="003674B4">
      <w:pPr>
        <w:tabs>
          <w:tab w:val="left" w:pos="3069"/>
        </w:tabs>
        <w:spacing w:after="0" w:line="240" w:lineRule="auto"/>
        <w:jc w:val="center"/>
        <w:rPr>
          <w:rFonts w:ascii="Verdana" w:hAnsi="Verdana" w:cs="Calibri"/>
          <w:b/>
          <w:color w:val="943634"/>
          <w:sz w:val="24"/>
        </w:rPr>
      </w:pP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номинированных в рублях</w:t>
      </w:r>
    </w:p>
    <w:p w:rsidR="003674B4" w:rsidRDefault="003674B4" w:rsidP="003674B4">
      <w:pPr>
        <w:spacing w:after="0"/>
        <w:jc w:val="both"/>
        <w:rPr>
          <w:rFonts w:ascii="Verdana" w:hAnsi="Verdana" w:cs="Calibri"/>
          <w:b/>
          <w:color w:val="943634"/>
        </w:rPr>
      </w:pPr>
    </w:p>
    <w:p w:rsidR="003674B4" w:rsidRDefault="003674B4" w:rsidP="003674B4">
      <w:pPr>
        <w:spacing w:after="0"/>
        <w:jc w:val="both"/>
        <w:rPr>
          <w:rFonts w:ascii="Verdana" w:hAnsi="Verdana" w:cs="Calibri"/>
          <w:b/>
          <w:color w:val="943634"/>
        </w:rPr>
      </w:pPr>
    </w:p>
    <w:p w:rsidR="00000F58" w:rsidRPr="00000F58" w:rsidRDefault="00000F58" w:rsidP="00000F58">
      <w:pPr>
        <w:spacing w:after="0" w:line="360" w:lineRule="auto"/>
        <w:ind w:firstLine="426"/>
        <w:rPr>
          <w:rFonts w:ascii="Times New Roman" w:hAnsi="Times New Roman"/>
          <w:b/>
          <w:sz w:val="24"/>
          <w:szCs w:val="24"/>
        </w:rPr>
      </w:pPr>
      <w:proofErr w:type="gramStart"/>
      <w:r w:rsidRPr="004451F2">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r w:rsidRPr="00000F58">
        <w:rPr>
          <w:rFonts w:ascii="Times New Roman" w:hAnsi="Times New Roman"/>
          <w:sz w:val="24"/>
          <w:szCs w:val="24"/>
        </w:rPr>
        <w:t xml:space="preserve"> стоимость облигации определяется пут</w:t>
      </w:r>
      <w:bookmarkStart w:id="5" w:name="_GoBack"/>
      <w:bookmarkEnd w:id="5"/>
      <w:r w:rsidRPr="00000F58">
        <w:rPr>
          <w:rFonts w:ascii="Times New Roman" w:hAnsi="Times New Roman"/>
          <w:sz w:val="24"/>
          <w:szCs w:val="24"/>
        </w:rPr>
        <w:t xml:space="preserve">ем дисконтирования стоимости будущих купонных платежей, а также номинала по ставкам кривой </w:t>
      </w:r>
      <w:proofErr w:type="spellStart"/>
      <w:r w:rsidRPr="00000F58">
        <w:rPr>
          <w:rFonts w:ascii="Times New Roman" w:hAnsi="Times New Roman"/>
          <w:sz w:val="24"/>
          <w:szCs w:val="24"/>
        </w:rPr>
        <w:t>безрисковых</w:t>
      </w:r>
      <w:proofErr w:type="spellEnd"/>
      <w:r w:rsidRPr="00000F58">
        <w:rPr>
          <w:rFonts w:ascii="Times New Roman" w:hAnsi="Times New Roman"/>
          <w:sz w:val="24"/>
          <w:szCs w:val="24"/>
        </w:rPr>
        <w:t xml:space="preserve"> доходностей, скорректированных на кредитный спред: </w:t>
      </w:r>
      <w:proofErr w:type="gramEnd"/>
    </w:p>
    <w:p w:rsidR="00000F58" w:rsidRPr="00000F58" w:rsidRDefault="00000F58" w:rsidP="00000F58">
      <w:pPr>
        <w:spacing w:after="0" w:line="360" w:lineRule="auto"/>
        <w:jc w:val="center"/>
        <w:rPr>
          <w:rFonts w:ascii="Times New Roman" w:hAnsi="Times New Roman"/>
          <w:color w:val="0D0D0D" w:themeColor="text1" w:themeTint="F2"/>
          <w:sz w:val="24"/>
          <w:szCs w:val="24"/>
        </w:rPr>
      </w:pPr>
      <w:r w:rsidRPr="00000F58">
        <w:rPr>
          <w:rFonts w:ascii="Times New Roman" w:hAnsi="Times New Roman"/>
          <w:noProof/>
          <w:position w:val="-30"/>
          <w:sz w:val="24"/>
          <w:szCs w:val="24"/>
        </w:rPr>
        <w:object w:dxaOrig="2900" w:dyaOrig="700">
          <v:shape id="_x0000_i1071" type="#_x0000_t75" style="width:145.5pt;height:34.5pt" o:ole="">
            <v:imagedata r:id="rId116" o:title=""/>
          </v:shape>
          <o:OLEObject Type="Embed" ProgID="Equation.3" ShapeID="_x0000_i1071" DrawAspect="Content" ObjectID="_1634051503" r:id="rId117"/>
        </w:object>
      </w:r>
    </w:p>
    <w:p w:rsidR="00000F58" w:rsidRPr="00000F58" w:rsidRDefault="00000F58" w:rsidP="00000F58">
      <w:pPr>
        <w:spacing w:after="0" w:line="360" w:lineRule="auto"/>
        <w:rPr>
          <w:rFonts w:ascii="Times New Roman" w:hAnsi="Times New Roman"/>
          <w:sz w:val="24"/>
          <w:szCs w:val="24"/>
        </w:rPr>
      </w:pPr>
      <w:r w:rsidRPr="00000F58">
        <w:rPr>
          <w:rFonts w:ascii="Times New Roman" w:hAnsi="Times New Roman"/>
          <w:sz w:val="24"/>
          <w:szCs w:val="24"/>
        </w:rPr>
        <w:t>P</w:t>
      </w:r>
      <w:r w:rsidRPr="00000F58">
        <w:rPr>
          <w:rFonts w:ascii="Times New Roman" w:hAnsi="Times New Roman"/>
          <w:sz w:val="24"/>
          <w:szCs w:val="24"/>
          <w:vertAlign w:val="subscript"/>
          <w:lang w:val="en-US"/>
        </w:rPr>
        <w:t>t</w:t>
      </w:r>
      <w:r w:rsidRPr="00000F58">
        <w:rPr>
          <w:rFonts w:ascii="Times New Roman" w:hAnsi="Times New Roman"/>
          <w:sz w:val="24"/>
          <w:szCs w:val="24"/>
          <w:vertAlign w:val="subscript"/>
        </w:rPr>
        <w:t>0</w:t>
      </w:r>
      <w:r w:rsidRPr="00000F58">
        <w:rPr>
          <w:rFonts w:ascii="Times New Roman" w:hAnsi="Times New Roman"/>
          <w:sz w:val="24"/>
          <w:szCs w:val="24"/>
          <w:vertAlign w:val="subscript"/>
        </w:rPr>
        <w:tab/>
      </w:r>
      <w:r w:rsidRPr="00000F58">
        <w:rPr>
          <w:rFonts w:ascii="Times New Roman" w:hAnsi="Times New Roman"/>
          <w:sz w:val="24"/>
          <w:szCs w:val="24"/>
        </w:rPr>
        <w:t xml:space="preserve"> – справедливая стоимость облигации;</w:t>
      </w:r>
    </w:p>
    <w:p w:rsidR="00000F58" w:rsidRPr="00000F58" w:rsidRDefault="00000F58" w:rsidP="00000F58">
      <w:pPr>
        <w:spacing w:after="0" w:line="360" w:lineRule="auto"/>
        <w:rPr>
          <w:rFonts w:ascii="Times New Roman" w:hAnsi="Times New Roman"/>
          <w:sz w:val="24"/>
          <w:szCs w:val="24"/>
        </w:rPr>
      </w:pPr>
      <w:r w:rsidRPr="00000F58">
        <w:rPr>
          <w:rFonts w:ascii="Times New Roman" w:hAnsi="Times New Roman"/>
          <w:sz w:val="24"/>
          <w:szCs w:val="24"/>
          <w:lang w:val="en-US"/>
        </w:rPr>
        <w:t>i</w:t>
      </w:r>
      <w:r w:rsidRPr="00000F58">
        <w:rPr>
          <w:rFonts w:ascii="Times New Roman" w:hAnsi="Times New Roman"/>
          <w:sz w:val="24"/>
          <w:szCs w:val="24"/>
        </w:rPr>
        <w:t xml:space="preserve"> – </w:t>
      </w:r>
      <w:proofErr w:type="gramStart"/>
      <w:r w:rsidRPr="00000F58">
        <w:rPr>
          <w:rFonts w:ascii="Times New Roman" w:hAnsi="Times New Roman"/>
          <w:sz w:val="24"/>
          <w:szCs w:val="24"/>
        </w:rPr>
        <w:t>порядковый</w:t>
      </w:r>
      <w:proofErr w:type="gramEnd"/>
      <w:r w:rsidRPr="00000F58">
        <w:rPr>
          <w:rFonts w:ascii="Times New Roman" w:hAnsi="Times New Roman"/>
          <w:sz w:val="24"/>
          <w:szCs w:val="24"/>
        </w:rPr>
        <w:t xml:space="preserve"> номер денежного потока;</w:t>
      </w:r>
    </w:p>
    <w:p w:rsidR="00000F58" w:rsidRPr="00000F58" w:rsidRDefault="00000F58" w:rsidP="00000F58">
      <w:pPr>
        <w:spacing w:after="0" w:line="360" w:lineRule="auto"/>
        <w:rPr>
          <w:rFonts w:ascii="Times New Roman" w:hAnsi="Times New Roman"/>
          <w:sz w:val="24"/>
          <w:szCs w:val="24"/>
        </w:rPr>
      </w:pPr>
      <w:proofErr w:type="spellStart"/>
      <w:r w:rsidRPr="00000F58">
        <w:rPr>
          <w:rFonts w:ascii="Times New Roman" w:hAnsi="Times New Roman"/>
          <w:sz w:val="24"/>
          <w:szCs w:val="24"/>
        </w:rPr>
        <w:t>CFi</w:t>
      </w:r>
      <w:proofErr w:type="spellEnd"/>
      <w:r w:rsidRPr="00000F58">
        <w:rPr>
          <w:rFonts w:ascii="Times New Roman" w:hAnsi="Times New Roman"/>
          <w:sz w:val="24"/>
          <w:szCs w:val="24"/>
        </w:rPr>
        <w:tab/>
        <w:t xml:space="preserve"> – </w:t>
      </w:r>
      <w:r w:rsidRPr="00000F58">
        <w:rPr>
          <w:rFonts w:ascii="Times New Roman" w:hAnsi="Times New Roman"/>
          <w:sz w:val="24"/>
          <w:szCs w:val="24"/>
          <w:lang w:val="en-US"/>
        </w:rPr>
        <w:t>i</w:t>
      </w:r>
      <w:r w:rsidRPr="00000F58">
        <w:rPr>
          <w:rFonts w:ascii="Times New Roman" w:hAnsi="Times New Roman"/>
          <w:sz w:val="24"/>
          <w:szCs w:val="24"/>
        </w:rPr>
        <w:t>-</w:t>
      </w:r>
      <w:proofErr w:type="spellStart"/>
      <w:r w:rsidRPr="00000F58">
        <w:rPr>
          <w:rFonts w:ascii="Times New Roman" w:hAnsi="Times New Roman"/>
          <w:sz w:val="24"/>
          <w:szCs w:val="24"/>
        </w:rPr>
        <w:t>ый</w:t>
      </w:r>
      <w:proofErr w:type="spellEnd"/>
      <w:r w:rsidRPr="00000F58">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sidRPr="00000F58">
        <w:rPr>
          <w:rFonts w:ascii="Times New Roman" w:hAnsi="Times New Roman"/>
          <w:sz w:val="24"/>
          <w:szCs w:val="24"/>
        </w:rPr>
        <w:t>с даты определения</w:t>
      </w:r>
      <w:proofErr w:type="gramEnd"/>
      <w:r w:rsidRPr="00000F58">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000F58" w:rsidRPr="00000F58" w:rsidRDefault="00000F58" w:rsidP="00000F58">
      <w:pPr>
        <w:spacing w:after="0" w:line="360" w:lineRule="auto"/>
        <w:rPr>
          <w:rFonts w:ascii="Times New Roman" w:hAnsi="Times New Roman"/>
          <w:sz w:val="24"/>
          <w:szCs w:val="24"/>
        </w:rPr>
      </w:pPr>
      <w:proofErr w:type="gramStart"/>
      <w:r w:rsidRPr="00000F58">
        <w:rPr>
          <w:rFonts w:ascii="Times New Roman" w:hAnsi="Times New Roman"/>
          <w:sz w:val="24"/>
          <w:szCs w:val="24"/>
          <w:lang w:val="en-US"/>
        </w:rPr>
        <w:t>r</w:t>
      </w:r>
      <w:r w:rsidRPr="00000F58">
        <w:rPr>
          <w:rFonts w:ascii="Times New Roman" w:hAnsi="Times New Roman"/>
          <w:sz w:val="24"/>
          <w:szCs w:val="24"/>
        </w:rPr>
        <w:t>i</w:t>
      </w:r>
      <w:proofErr w:type="gramEnd"/>
      <w:r w:rsidRPr="00000F58">
        <w:rPr>
          <w:rFonts w:ascii="Times New Roman" w:hAnsi="Times New Roman"/>
          <w:sz w:val="24"/>
          <w:szCs w:val="24"/>
        </w:rPr>
        <w:tab/>
        <w:t xml:space="preserve"> – ставка кривой бескупонной доходности рынка ОФЗ (</w:t>
      </w:r>
      <w:r w:rsidRPr="00000F58">
        <w:rPr>
          <w:rFonts w:ascii="Times New Roman" w:hAnsi="Times New Roman"/>
          <w:sz w:val="24"/>
          <w:szCs w:val="24"/>
          <w:lang w:val="en-US"/>
        </w:rPr>
        <w:t>G</w:t>
      </w:r>
      <w:r w:rsidRPr="00000F58">
        <w:rPr>
          <w:rFonts w:ascii="Times New Roman" w:hAnsi="Times New Roman"/>
          <w:sz w:val="24"/>
          <w:szCs w:val="24"/>
        </w:rPr>
        <w:t>-кривая), соответствующая дате выплаты i-</w:t>
      </w:r>
      <w:proofErr w:type="spellStart"/>
      <w:r w:rsidRPr="00000F58">
        <w:rPr>
          <w:rFonts w:ascii="Times New Roman" w:hAnsi="Times New Roman"/>
          <w:sz w:val="24"/>
          <w:szCs w:val="24"/>
        </w:rPr>
        <w:t>го</w:t>
      </w:r>
      <w:proofErr w:type="spellEnd"/>
      <w:r w:rsidRPr="00000F58">
        <w:rPr>
          <w:rFonts w:ascii="Times New Roman" w:hAnsi="Times New Roman"/>
          <w:sz w:val="24"/>
          <w:szCs w:val="24"/>
        </w:rPr>
        <w:t xml:space="preserve"> денежного потока, публикуемая Банком России и Московской Биржей;</w:t>
      </w:r>
    </w:p>
    <w:p w:rsidR="00000F58" w:rsidRPr="00000F58" w:rsidRDefault="00000F58" w:rsidP="00000F58">
      <w:pPr>
        <w:spacing w:after="0" w:line="360" w:lineRule="auto"/>
        <w:rPr>
          <w:rFonts w:ascii="Times New Roman" w:hAnsi="Times New Roman"/>
          <w:sz w:val="24"/>
          <w:szCs w:val="24"/>
        </w:rPr>
      </w:pPr>
      <w:proofErr w:type="spellStart"/>
      <w:r w:rsidRPr="00000F58">
        <w:rPr>
          <w:rFonts w:ascii="Times New Roman" w:hAnsi="Times New Roman"/>
          <w:sz w:val="24"/>
          <w:szCs w:val="24"/>
          <w:lang w:val="en-US"/>
        </w:rPr>
        <w:t>CrSpread</w:t>
      </w:r>
      <w:proofErr w:type="spellEnd"/>
      <w:r w:rsidRPr="00000F58">
        <w:rPr>
          <w:rFonts w:ascii="Times New Roman" w:hAnsi="Times New Roman"/>
          <w:sz w:val="24"/>
          <w:szCs w:val="24"/>
        </w:rPr>
        <w:t xml:space="preserve"> – кредитный спред облигационного индекса (расчет приведен ниже);</w:t>
      </w:r>
    </w:p>
    <w:p w:rsidR="00000F58" w:rsidRPr="00000F58" w:rsidRDefault="00000F58" w:rsidP="00000F58">
      <w:pPr>
        <w:spacing w:after="0" w:line="360" w:lineRule="auto"/>
        <w:rPr>
          <w:rFonts w:ascii="Times New Roman" w:hAnsi="Times New Roman"/>
          <w:sz w:val="24"/>
          <w:szCs w:val="24"/>
        </w:rPr>
      </w:pPr>
      <w:proofErr w:type="spellStart"/>
      <w:r w:rsidRPr="00000F58">
        <w:rPr>
          <w:rFonts w:ascii="Times New Roman" w:hAnsi="Times New Roman"/>
          <w:sz w:val="24"/>
          <w:szCs w:val="24"/>
        </w:rPr>
        <w:t>ti</w:t>
      </w:r>
      <w:proofErr w:type="spellEnd"/>
      <w:r w:rsidRPr="00000F58">
        <w:rPr>
          <w:rFonts w:ascii="Times New Roman" w:hAnsi="Times New Roman"/>
          <w:sz w:val="24"/>
          <w:szCs w:val="24"/>
        </w:rPr>
        <w:noBreakHyphen/>
        <w:t xml:space="preserve"> – срок до выплаты i-</w:t>
      </w:r>
      <w:proofErr w:type="spellStart"/>
      <w:r w:rsidRPr="00000F58">
        <w:rPr>
          <w:rFonts w:ascii="Times New Roman" w:hAnsi="Times New Roman"/>
          <w:sz w:val="24"/>
          <w:szCs w:val="24"/>
        </w:rPr>
        <w:t>го</w:t>
      </w:r>
      <w:proofErr w:type="spellEnd"/>
      <w:r w:rsidRPr="00000F58">
        <w:rPr>
          <w:rFonts w:ascii="Times New Roman" w:hAnsi="Times New Roman"/>
          <w:sz w:val="24"/>
          <w:szCs w:val="24"/>
        </w:rPr>
        <w:t xml:space="preserve"> денежного потока в годах (в качестве базы расчета используется 365 дней)</w:t>
      </w:r>
    </w:p>
    <w:p w:rsidR="00000F58" w:rsidRPr="00000F58" w:rsidRDefault="00000F58" w:rsidP="00000F58">
      <w:pPr>
        <w:spacing w:line="360" w:lineRule="auto"/>
        <w:ind w:firstLine="284"/>
        <w:rPr>
          <w:rFonts w:ascii="Times New Roman" w:hAnsi="Times New Roman"/>
          <w:sz w:val="24"/>
          <w:szCs w:val="24"/>
        </w:rPr>
      </w:pPr>
      <w:r w:rsidRPr="00000F58">
        <w:rPr>
          <w:rFonts w:ascii="Times New Roman" w:hAnsi="Times New Roman"/>
          <w:sz w:val="24"/>
          <w:szCs w:val="24"/>
        </w:rPr>
        <w:t>В случае</w:t>
      </w:r>
      <w:proofErr w:type="gramStart"/>
      <w:r w:rsidRPr="00000F58">
        <w:rPr>
          <w:rFonts w:ascii="Times New Roman" w:hAnsi="Times New Roman"/>
          <w:sz w:val="24"/>
          <w:szCs w:val="24"/>
        </w:rPr>
        <w:t>,</w:t>
      </w:r>
      <w:proofErr w:type="gramEnd"/>
      <w:r w:rsidRPr="00000F58">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000F58">
        <w:rPr>
          <w:rFonts w:ascii="Times New Roman" w:hAnsi="Times New Roman"/>
          <w:sz w:val="24"/>
          <w:szCs w:val="24"/>
        </w:rPr>
        <w:t>преддефолтным</w:t>
      </w:r>
      <w:proofErr w:type="spellEnd"/>
      <w:r w:rsidRPr="00000F58">
        <w:rPr>
          <w:rFonts w:ascii="Times New Roman" w:hAnsi="Times New Roman"/>
          <w:sz w:val="24"/>
          <w:szCs w:val="24"/>
        </w:rPr>
        <w:t xml:space="preserve"> рейтингом в </w:t>
      </w:r>
      <w:r w:rsidRPr="00000F58">
        <w:rPr>
          <w:rFonts w:ascii="Times New Roman" w:hAnsi="Times New Roman"/>
          <w:sz w:val="24"/>
          <w:szCs w:val="24"/>
        </w:rPr>
        <w:lastRenderedPageBreak/>
        <w:t xml:space="preserve">составе отчета (Источник: </w:t>
      </w:r>
      <w:hyperlink r:id="rId118" w:history="1">
        <w:r w:rsidRPr="00000F58">
          <w:rPr>
            <w:rFonts w:ascii="Times New Roman" w:hAnsi="Times New Roman"/>
            <w:color w:val="0000FF"/>
            <w:sz w:val="24"/>
            <w:szCs w:val="24"/>
            <w:u w:val="single"/>
          </w:rPr>
          <w:t>https://www.spratings.com/documents/20184/774196/2016+Annual+Global+Corporate+Default+Study+And+Rating+Transitions.pdf/2ddcf9dd-3b82-4151-9dab-8e3fc70a7035</w:t>
        </w:r>
      </w:hyperlink>
      <w:r w:rsidRPr="00000F58">
        <w:rPr>
          <w:rFonts w:ascii="Times New Roman" w:hAnsi="Times New Roman"/>
          <w:sz w:val="24"/>
          <w:szCs w:val="24"/>
        </w:rPr>
        <w:t>, таблица 9).</w:t>
      </w:r>
    </w:p>
    <w:p w:rsidR="00000F58" w:rsidRPr="00000F58" w:rsidRDefault="00000F58" w:rsidP="00000F58">
      <w:pPr>
        <w:spacing w:after="0" w:line="360" w:lineRule="auto"/>
        <w:ind w:firstLine="426"/>
        <w:jc w:val="both"/>
        <w:rPr>
          <w:rFonts w:ascii="Times New Roman" w:hAnsi="Times New Roman"/>
          <w:sz w:val="24"/>
          <w:szCs w:val="24"/>
        </w:rPr>
      </w:pPr>
      <w:r w:rsidRPr="00000F5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000F58">
        <w:rPr>
          <w:rFonts w:ascii="Times New Roman" w:hAnsi="Times New Roman"/>
          <w:sz w:val="24"/>
          <w:szCs w:val="24"/>
        </w:rPr>
        <w:t>субординированность</w:t>
      </w:r>
      <w:proofErr w:type="spellEnd"/>
      <w:r w:rsidRPr="00000F5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000F58">
        <w:rPr>
          <w:rFonts w:ascii="Times New Roman" w:hAnsi="Times New Roman"/>
          <w:sz w:val="24"/>
          <w:szCs w:val="24"/>
        </w:rPr>
        <w:t>субординированность</w:t>
      </w:r>
      <w:proofErr w:type="spellEnd"/>
      <w:r w:rsidRPr="00000F58">
        <w:rPr>
          <w:rFonts w:ascii="Times New Roman" w:hAnsi="Times New Roman"/>
          <w:sz w:val="24"/>
          <w:szCs w:val="24"/>
        </w:rPr>
        <w:t xml:space="preserve"> определяется с учетом доступной рыночной информации о спредах за </w:t>
      </w:r>
      <w:proofErr w:type="spellStart"/>
      <w:r w:rsidRPr="00000F58">
        <w:rPr>
          <w:rFonts w:ascii="Times New Roman" w:hAnsi="Times New Roman"/>
          <w:sz w:val="24"/>
          <w:szCs w:val="24"/>
        </w:rPr>
        <w:t>субординированность</w:t>
      </w:r>
      <w:proofErr w:type="spellEnd"/>
      <w:r w:rsidRPr="00000F58">
        <w:rPr>
          <w:rFonts w:ascii="Times New Roman" w:hAnsi="Times New Roman"/>
          <w:sz w:val="24"/>
          <w:szCs w:val="24"/>
        </w:rPr>
        <w:t xml:space="preserve"> сопоставимых выпусков или эмитентов.</w:t>
      </w:r>
    </w:p>
    <w:p w:rsidR="00000F58" w:rsidRPr="00000F58" w:rsidRDefault="00000F58" w:rsidP="00000F58">
      <w:pPr>
        <w:spacing w:after="0" w:line="360" w:lineRule="auto"/>
        <w:ind w:firstLine="426"/>
        <w:rPr>
          <w:rFonts w:ascii="Times New Roman" w:hAnsi="Times New Roman"/>
          <w:sz w:val="24"/>
          <w:szCs w:val="24"/>
        </w:rPr>
      </w:pPr>
      <w:r w:rsidRPr="00000F5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Для целей расчета медианного кредитного спреда</w:t>
      </w:r>
      <w:proofErr w:type="gramStart"/>
      <w:r w:rsidRPr="00000F58">
        <w:rPr>
          <w:rFonts w:ascii="Times New Roman" w:hAnsi="Times New Roman"/>
          <w:sz w:val="24"/>
          <w:szCs w:val="24"/>
        </w:rPr>
        <w:t xml:space="preserve"> (</w:t>
      </w:r>
      <m:oMath>
        <m:r>
          <w:rPr>
            <w:rFonts w:ascii="Cambria Math" w:hAnsi="Cambria Math"/>
            <w:sz w:val="24"/>
            <w:szCs w:val="24"/>
          </w:rPr>
          <m:t>CrSpread</m:t>
        </m:r>
      </m:oMath>
      <w:r w:rsidRPr="00000F58">
        <w:rPr>
          <w:rFonts w:ascii="Times New Roman" w:hAnsi="Times New Roman"/>
          <w:sz w:val="24"/>
          <w:szCs w:val="24"/>
        </w:rPr>
        <w:t xml:space="preserve">) </w:t>
      </w:r>
      <w:proofErr w:type="gramEnd"/>
      <w:r w:rsidRPr="00000F58">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000F58">
        <w:rPr>
          <w:rFonts w:ascii="Times New Roman" w:hAnsi="Times New Roman"/>
          <w:sz w:val="24"/>
          <w:szCs w:val="24"/>
        </w:rPr>
        <w:t xml:space="preserve">или) </w:t>
      </w:r>
      <w:proofErr w:type="gramEnd"/>
      <w:r w:rsidRPr="00000F58">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000F58" w:rsidRPr="00000F58" w:rsidTr="00D55F4D">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b/>
                <w:bCs/>
                <w:color w:val="000000"/>
                <w:sz w:val="24"/>
                <w:szCs w:val="24"/>
              </w:rPr>
            </w:pPr>
            <w:proofErr w:type="spellStart"/>
            <w:r w:rsidRPr="00000F58">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b/>
                <w:bCs/>
                <w:color w:val="000000"/>
                <w:sz w:val="24"/>
                <w:szCs w:val="24"/>
              </w:rPr>
            </w:pPr>
            <w:proofErr w:type="spellStart"/>
            <w:r w:rsidRPr="00000F58">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Рейтинговая группа</w:t>
            </w:r>
          </w:p>
        </w:tc>
      </w:tr>
      <w:tr w:rsidR="00000F58" w:rsidRPr="00000F58" w:rsidTr="00D55F4D">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Ваа</w:t>
            </w:r>
            <w:proofErr w:type="gramStart"/>
            <w:r w:rsidRPr="00000F58">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Рейтинговая группа I</w:t>
            </w: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Ваа</w:t>
            </w:r>
            <w:proofErr w:type="gramStart"/>
            <w:r w:rsidRPr="00000F58">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sz w:val="24"/>
                <w:szCs w:val="24"/>
              </w:rPr>
            </w:pPr>
            <w:r w:rsidRPr="00000F5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sz w:val="24"/>
                <w:szCs w:val="24"/>
              </w:rPr>
            </w:pPr>
            <w:r w:rsidRPr="00000F5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sz w:val="24"/>
                <w:szCs w:val="24"/>
              </w:rPr>
            </w:pPr>
            <w:r w:rsidRPr="00000F5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lang w:val="en-US"/>
              </w:rPr>
            </w:pPr>
            <w:r w:rsidRPr="00000F58">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ruAA</w:t>
            </w:r>
            <w:proofErr w:type="spellEnd"/>
            <w:r w:rsidRPr="00000F58">
              <w:rPr>
                <w:rFonts w:ascii="Times New Roman" w:hAnsi="Times New Roman"/>
                <w:color w:val="000000"/>
                <w:sz w:val="24"/>
                <w:szCs w:val="24"/>
              </w:rPr>
              <w:t xml:space="preserve">+, </w:t>
            </w:r>
            <w:proofErr w:type="spellStart"/>
            <w:r w:rsidRPr="00000F58">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sz w:val="24"/>
                <w:szCs w:val="24"/>
              </w:rPr>
            </w:pPr>
            <w:r w:rsidRPr="00000F58">
              <w:rPr>
                <w:rFonts w:ascii="Times New Roman" w:hAnsi="Times New Roman"/>
                <w:sz w:val="24"/>
                <w:szCs w:val="24"/>
              </w:rPr>
              <w:t>Ва</w:t>
            </w:r>
            <w:proofErr w:type="gramStart"/>
            <w:r w:rsidRPr="00000F58">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sz w:val="24"/>
                <w:szCs w:val="24"/>
              </w:rPr>
            </w:pPr>
            <w:proofErr w:type="gramStart"/>
            <w:r w:rsidRPr="00000F58">
              <w:rPr>
                <w:rFonts w:ascii="Times New Roman" w:hAnsi="Times New Roman"/>
                <w:sz w:val="24"/>
                <w:szCs w:val="24"/>
              </w:rPr>
              <w:t>ВВ</w:t>
            </w:r>
            <w:proofErr w:type="gramEnd"/>
            <w:r w:rsidRPr="00000F58">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sz w:val="24"/>
                <w:szCs w:val="24"/>
              </w:rPr>
            </w:pPr>
            <w:proofErr w:type="gramStart"/>
            <w:r w:rsidRPr="00000F58">
              <w:rPr>
                <w:rFonts w:ascii="Times New Roman" w:hAnsi="Times New Roman"/>
                <w:sz w:val="24"/>
                <w:szCs w:val="24"/>
              </w:rPr>
              <w:t>ВВ</w:t>
            </w:r>
            <w:proofErr w:type="gramEnd"/>
            <w:r w:rsidRPr="00000F58">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rPr>
            </w:pPr>
            <w:r w:rsidRPr="00000F58">
              <w:rPr>
                <w:rFonts w:ascii="Times New Roman" w:hAnsi="Times New Roman"/>
                <w:b/>
                <w:bCs/>
                <w:color w:val="000000"/>
                <w:sz w:val="24"/>
                <w:szCs w:val="24"/>
              </w:rPr>
              <w:t>Рейтинговая группа II</w:t>
            </w: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ruAA</w:t>
            </w:r>
            <w:proofErr w:type="spellEnd"/>
            <w:r w:rsidRPr="00000F58">
              <w:rPr>
                <w:rFonts w:ascii="Times New Roman" w:hAnsi="Times New Roman"/>
                <w:color w:val="000000"/>
                <w:sz w:val="24"/>
                <w:szCs w:val="24"/>
              </w:rPr>
              <w:t xml:space="preserve">-, </w:t>
            </w:r>
            <w:proofErr w:type="spellStart"/>
            <w:r w:rsidRPr="00000F58">
              <w:rPr>
                <w:rFonts w:ascii="Times New Roman" w:hAnsi="Times New Roman"/>
                <w:color w:val="000000"/>
                <w:sz w:val="24"/>
                <w:szCs w:val="24"/>
              </w:rPr>
              <w:t>ruA</w:t>
            </w:r>
            <w:proofErr w:type="spellEnd"/>
            <w:r w:rsidRPr="00000F58">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Ва</w:t>
            </w:r>
            <w:proofErr w:type="gramStart"/>
            <w:r w:rsidRPr="00000F58">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gramStart"/>
            <w:r w:rsidRPr="00000F58">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gramStart"/>
            <w:r w:rsidRPr="00000F58">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ruA</w:t>
            </w:r>
            <w:proofErr w:type="spellEnd"/>
            <w:r w:rsidRPr="00000F58">
              <w:rPr>
                <w:rFonts w:ascii="Times New Roman" w:hAnsi="Times New Roman"/>
                <w:color w:val="000000"/>
                <w:sz w:val="24"/>
                <w:szCs w:val="24"/>
              </w:rPr>
              <w:t xml:space="preserve">, </w:t>
            </w:r>
            <w:proofErr w:type="spellStart"/>
            <w:r w:rsidRPr="00000F58">
              <w:rPr>
                <w:rFonts w:ascii="Times New Roman" w:hAnsi="Times New Roman"/>
                <w:color w:val="000000"/>
                <w:sz w:val="24"/>
                <w:szCs w:val="24"/>
              </w:rPr>
              <w:t>ruA</w:t>
            </w:r>
            <w:proofErr w:type="spellEnd"/>
            <w:r w:rsidRPr="00000F58">
              <w:rPr>
                <w:rFonts w:ascii="Times New Roman" w:hAnsi="Times New Roman"/>
                <w:color w:val="000000"/>
                <w:sz w:val="24"/>
                <w:szCs w:val="24"/>
              </w:rPr>
              <w:t xml:space="preserve">-, </w:t>
            </w:r>
            <w:proofErr w:type="spellStart"/>
            <w:r w:rsidRPr="00000F58">
              <w:rPr>
                <w:rFonts w:ascii="Times New Roman" w:hAnsi="Times New Roman"/>
                <w:color w:val="000000"/>
                <w:sz w:val="24"/>
                <w:szCs w:val="24"/>
              </w:rPr>
              <w:t>ruBBB</w:t>
            </w:r>
            <w:proofErr w:type="spellEnd"/>
            <w:r w:rsidRPr="00000F58">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gramStart"/>
            <w:r w:rsidRPr="00000F58">
              <w:rPr>
                <w:rFonts w:ascii="Times New Roman" w:hAnsi="Times New Roman"/>
                <w:color w:val="000000"/>
                <w:sz w:val="24"/>
                <w:szCs w:val="24"/>
              </w:rPr>
              <w:t>ВВ</w:t>
            </w:r>
            <w:proofErr w:type="gramEnd"/>
            <w:r w:rsidRPr="00000F58">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gramStart"/>
            <w:r w:rsidRPr="00000F58">
              <w:rPr>
                <w:rFonts w:ascii="Times New Roman" w:hAnsi="Times New Roman"/>
                <w:color w:val="000000"/>
                <w:sz w:val="24"/>
                <w:szCs w:val="24"/>
              </w:rPr>
              <w:t>ВВ</w:t>
            </w:r>
            <w:proofErr w:type="gramEnd"/>
            <w:r w:rsidRPr="00000F58">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w:t>
            </w:r>
            <w:proofErr w:type="gramStart"/>
            <w:r w:rsidRPr="00000F58">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b/>
                <w:bCs/>
                <w:color w:val="000000"/>
                <w:sz w:val="24"/>
                <w:szCs w:val="24"/>
                <w:lang w:val="en-US"/>
              </w:rPr>
            </w:pPr>
            <w:r w:rsidRPr="00000F58">
              <w:rPr>
                <w:rFonts w:ascii="Times New Roman" w:hAnsi="Times New Roman"/>
                <w:b/>
                <w:bCs/>
                <w:color w:val="000000"/>
                <w:sz w:val="24"/>
                <w:szCs w:val="24"/>
              </w:rPr>
              <w:t>Рейтинговая группа II</w:t>
            </w:r>
            <w:r w:rsidRPr="00000F58">
              <w:rPr>
                <w:rFonts w:ascii="Times New Roman" w:hAnsi="Times New Roman"/>
                <w:b/>
                <w:bCs/>
                <w:color w:val="000000"/>
                <w:sz w:val="24"/>
                <w:szCs w:val="24"/>
                <w:lang w:val="en-US"/>
              </w:rPr>
              <w:t>I</w:t>
            </w: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ruBBB</w:t>
            </w:r>
            <w:proofErr w:type="spellEnd"/>
            <w:r w:rsidRPr="00000F58">
              <w:rPr>
                <w:rFonts w:ascii="Times New Roman" w:hAnsi="Times New Roman"/>
                <w:color w:val="000000"/>
                <w:sz w:val="24"/>
                <w:szCs w:val="24"/>
              </w:rPr>
              <w:t xml:space="preserve">-, </w:t>
            </w:r>
            <w:proofErr w:type="spellStart"/>
            <w:r w:rsidRPr="00000F58">
              <w:rPr>
                <w:rFonts w:ascii="Times New Roman" w:hAnsi="Times New Roman"/>
                <w:color w:val="000000"/>
                <w:sz w:val="24"/>
                <w:szCs w:val="24"/>
              </w:rPr>
              <w:t>ruBB</w:t>
            </w:r>
            <w:proofErr w:type="spellEnd"/>
            <w:r w:rsidRPr="00000F58">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w:t>
            </w:r>
            <w:proofErr w:type="gramStart"/>
            <w:r w:rsidRPr="00000F58">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proofErr w:type="spellStart"/>
            <w:r w:rsidRPr="00000F58">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000F58" w:rsidRPr="00000F58" w:rsidRDefault="00000F58" w:rsidP="00000F58">
            <w:pPr>
              <w:spacing w:line="360" w:lineRule="auto"/>
              <w:rPr>
                <w:rFonts w:ascii="Times New Roman" w:hAnsi="Times New Roman"/>
                <w:b/>
                <w:bCs/>
                <w:color w:val="000000"/>
                <w:sz w:val="24"/>
                <w:szCs w:val="24"/>
              </w:rPr>
            </w:pPr>
          </w:p>
        </w:tc>
      </w:tr>
      <w:tr w:rsidR="00000F58" w:rsidRPr="00000F58" w:rsidTr="00D55F4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00F58" w:rsidRPr="00000F58" w:rsidRDefault="00000F58" w:rsidP="00000F58">
            <w:pPr>
              <w:spacing w:line="360" w:lineRule="auto"/>
              <w:jc w:val="center"/>
              <w:rPr>
                <w:rFonts w:ascii="Times New Roman" w:hAnsi="Times New Roman"/>
                <w:color w:val="000000"/>
                <w:sz w:val="24"/>
                <w:szCs w:val="24"/>
              </w:rPr>
            </w:pPr>
            <w:r w:rsidRPr="00000F58">
              <w:rPr>
                <w:rFonts w:ascii="Times New Roman" w:hAnsi="Times New Roman"/>
                <w:color w:val="000000"/>
                <w:sz w:val="24"/>
                <w:szCs w:val="24"/>
              </w:rPr>
              <w:t xml:space="preserve">Более низкий рейтинг / </w:t>
            </w:r>
            <w:proofErr w:type="gramStart"/>
            <w:r w:rsidRPr="00000F58">
              <w:rPr>
                <w:rFonts w:ascii="Times New Roman" w:hAnsi="Times New Roman"/>
                <w:color w:val="000000"/>
                <w:sz w:val="24"/>
                <w:szCs w:val="24"/>
              </w:rPr>
              <w:t>рейтинг</w:t>
            </w:r>
            <w:proofErr w:type="gramEnd"/>
            <w:r w:rsidRPr="00000F58">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000F58" w:rsidRPr="00000F58" w:rsidRDefault="00000F58" w:rsidP="00000F58">
            <w:pPr>
              <w:spacing w:line="360" w:lineRule="auto"/>
              <w:jc w:val="center"/>
              <w:rPr>
                <w:rFonts w:ascii="Times New Roman" w:hAnsi="Times New Roman"/>
                <w:b/>
                <w:bCs/>
                <w:color w:val="000000"/>
                <w:sz w:val="24"/>
                <w:szCs w:val="24"/>
                <w:lang w:val="en-US"/>
              </w:rPr>
            </w:pPr>
            <w:r w:rsidRPr="00000F58">
              <w:rPr>
                <w:rFonts w:ascii="Times New Roman" w:hAnsi="Times New Roman"/>
                <w:b/>
                <w:bCs/>
                <w:color w:val="000000"/>
                <w:sz w:val="24"/>
                <w:szCs w:val="24"/>
              </w:rPr>
              <w:t>Рейтинговая группа I</w:t>
            </w:r>
            <w:r w:rsidRPr="00000F58">
              <w:rPr>
                <w:rFonts w:ascii="Times New Roman" w:hAnsi="Times New Roman"/>
                <w:b/>
                <w:bCs/>
                <w:color w:val="000000"/>
                <w:sz w:val="24"/>
                <w:szCs w:val="24"/>
                <w:lang w:val="en-US"/>
              </w:rPr>
              <w:t>V</w:t>
            </w:r>
          </w:p>
        </w:tc>
      </w:tr>
    </w:tbl>
    <w:p w:rsidR="00000F58" w:rsidRPr="00000F58" w:rsidRDefault="00000F58" w:rsidP="00000F58">
      <w:pPr>
        <w:spacing w:after="120" w:line="360" w:lineRule="auto"/>
        <w:rPr>
          <w:rFonts w:ascii="Times New Roman" w:hAnsi="Times New Roman"/>
          <w:sz w:val="24"/>
          <w:szCs w:val="24"/>
        </w:rPr>
      </w:pPr>
    </w:p>
    <w:p w:rsidR="00000F58" w:rsidRPr="00000F58" w:rsidRDefault="00000F58" w:rsidP="00000F58">
      <w:pPr>
        <w:spacing w:after="120" w:line="360" w:lineRule="auto"/>
        <w:ind w:firstLine="426"/>
        <w:jc w:val="both"/>
        <w:rPr>
          <w:rFonts w:ascii="Times New Roman" w:hAnsi="Times New Roman"/>
          <w:sz w:val="24"/>
          <w:szCs w:val="24"/>
        </w:rPr>
      </w:pPr>
      <w:proofErr w:type="gramStart"/>
      <w:r w:rsidRPr="00000F58">
        <w:rPr>
          <w:rFonts w:ascii="Times New Roman" w:hAnsi="Times New Roman"/>
          <w:sz w:val="24"/>
          <w:szCs w:val="24"/>
        </w:rPr>
        <w:t>Кредитный</w:t>
      </w:r>
      <w:proofErr w:type="gramEnd"/>
      <w:r w:rsidRPr="00000F58">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w:t>
      </w:r>
      <w:proofErr w:type="gramStart"/>
      <w:r w:rsidRPr="00000F58">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000F58">
        <w:rPr>
          <w:rFonts w:ascii="Times New Roman" w:hAnsi="Times New Roman"/>
          <w:sz w:val="24"/>
          <w:szCs w:val="24"/>
        </w:rPr>
        <w:t xml:space="preserve"> дату определения справедливой стоимости.</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000F58" w:rsidRPr="00000F58" w:rsidRDefault="00000F58" w:rsidP="00000F58">
      <w:pPr>
        <w:numPr>
          <w:ilvl w:val="0"/>
          <w:numId w:val="62"/>
        </w:numPr>
        <w:spacing w:after="0" w:line="360" w:lineRule="auto"/>
        <w:ind w:left="284" w:hanging="284"/>
        <w:contextualSpacing/>
        <w:jc w:val="both"/>
        <w:rPr>
          <w:sz w:val="24"/>
          <w:szCs w:val="24"/>
        </w:rPr>
      </w:pPr>
      <w:r w:rsidRPr="00000F58">
        <w:rPr>
          <w:rFonts w:eastAsiaTheme="minorHAnsi"/>
          <w:sz w:val="24"/>
          <w:szCs w:val="24"/>
        </w:rPr>
        <w:t>Индекс государственных облигаций (1-3 года),</w:t>
      </w:r>
      <w:r w:rsidRPr="00000F58">
        <w:rPr>
          <w:sz w:val="24"/>
          <w:szCs w:val="24"/>
        </w:rPr>
        <w:t xml:space="preserve"> </w:t>
      </w:r>
    </w:p>
    <w:p w:rsidR="00000F58" w:rsidRPr="00000F58" w:rsidRDefault="00000F58" w:rsidP="00000F58">
      <w:pPr>
        <w:spacing w:after="0" w:line="360" w:lineRule="auto"/>
        <w:ind w:firstLine="708"/>
        <w:jc w:val="both"/>
        <w:rPr>
          <w:rFonts w:ascii="Times New Roman" w:hAnsi="Times New Roman"/>
          <w:b/>
          <w:sz w:val="24"/>
          <w:szCs w:val="24"/>
        </w:rPr>
      </w:pPr>
      <w:proofErr w:type="spellStart"/>
      <w:r w:rsidRPr="00000F58">
        <w:rPr>
          <w:rFonts w:ascii="Times New Roman" w:hAnsi="Times New Roman"/>
          <w:sz w:val="24"/>
          <w:szCs w:val="24"/>
        </w:rPr>
        <w:t>Тикер</w:t>
      </w:r>
      <w:proofErr w:type="spellEnd"/>
      <w:r w:rsidRPr="00000F58">
        <w:rPr>
          <w:rFonts w:ascii="Times New Roman" w:hAnsi="Times New Roman"/>
          <w:sz w:val="24"/>
          <w:szCs w:val="24"/>
        </w:rPr>
        <w:t xml:space="preserve"> - </w:t>
      </w:r>
      <w:r w:rsidRPr="00000F58">
        <w:rPr>
          <w:rFonts w:ascii="Times New Roman" w:hAnsi="Times New Roman"/>
          <w:b/>
          <w:sz w:val="24"/>
          <w:szCs w:val="24"/>
        </w:rPr>
        <w:t>RUGBICP3Y;</w:t>
      </w:r>
    </w:p>
    <w:p w:rsidR="00000F58" w:rsidRPr="00000F58" w:rsidRDefault="00000F58" w:rsidP="00000F58">
      <w:pPr>
        <w:spacing w:after="0" w:line="360" w:lineRule="auto"/>
        <w:ind w:firstLine="708"/>
        <w:jc w:val="both"/>
        <w:rPr>
          <w:rFonts w:ascii="Times New Roman" w:hAnsi="Times New Roman"/>
          <w:sz w:val="24"/>
          <w:szCs w:val="24"/>
        </w:rPr>
      </w:pPr>
    </w:p>
    <w:p w:rsidR="00000F58" w:rsidRPr="00000F58" w:rsidRDefault="00000F58" w:rsidP="00000F58">
      <w:pPr>
        <w:numPr>
          <w:ilvl w:val="0"/>
          <w:numId w:val="62"/>
        </w:numPr>
        <w:spacing w:after="0" w:line="360" w:lineRule="auto"/>
        <w:ind w:left="284" w:hanging="284"/>
        <w:contextualSpacing/>
        <w:jc w:val="both"/>
        <w:rPr>
          <w:rFonts w:eastAsiaTheme="minorHAnsi"/>
          <w:sz w:val="24"/>
          <w:szCs w:val="24"/>
        </w:rPr>
      </w:pPr>
      <w:r w:rsidRPr="00000F58">
        <w:rPr>
          <w:rFonts w:eastAsiaTheme="minorHAnsi"/>
          <w:sz w:val="24"/>
          <w:szCs w:val="24"/>
        </w:rPr>
        <w:t xml:space="preserve">Рейтинговая группа I - Индекс корпоративных облигаций (1-3 года, рейтинг ≥ BBB-), </w:t>
      </w:r>
    </w:p>
    <w:p w:rsidR="00000F58" w:rsidRPr="00000F58" w:rsidRDefault="00000F58" w:rsidP="00000F58">
      <w:pPr>
        <w:spacing w:after="0" w:line="360" w:lineRule="auto"/>
        <w:ind w:firstLine="708"/>
        <w:jc w:val="both"/>
        <w:rPr>
          <w:rFonts w:ascii="Times New Roman" w:hAnsi="Times New Roman"/>
          <w:b/>
          <w:sz w:val="24"/>
          <w:szCs w:val="24"/>
        </w:rPr>
      </w:pPr>
      <w:proofErr w:type="spellStart"/>
      <w:r w:rsidRPr="00000F58">
        <w:rPr>
          <w:rFonts w:ascii="Times New Roman" w:hAnsi="Times New Roman"/>
          <w:sz w:val="24"/>
          <w:szCs w:val="24"/>
        </w:rPr>
        <w:t>Тикер</w:t>
      </w:r>
      <w:proofErr w:type="spellEnd"/>
      <w:r w:rsidRPr="00000F58">
        <w:rPr>
          <w:rFonts w:ascii="Times New Roman" w:hAnsi="Times New Roman"/>
          <w:sz w:val="24"/>
          <w:szCs w:val="24"/>
        </w:rPr>
        <w:t xml:space="preserve"> - </w:t>
      </w:r>
      <w:r w:rsidRPr="00000F58">
        <w:rPr>
          <w:rFonts w:ascii="Times New Roman" w:hAnsi="Times New Roman"/>
          <w:b/>
          <w:sz w:val="24"/>
          <w:szCs w:val="24"/>
        </w:rPr>
        <w:t>RUCBICPBBB3Y;</w:t>
      </w:r>
    </w:p>
    <w:p w:rsidR="00000F58" w:rsidRPr="00000F58" w:rsidRDefault="00000F58" w:rsidP="00000F58">
      <w:pPr>
        <w:spacing w:after="0" w:line="360" w:lineRule="auto"/>
        <w:ind w:firstLine="708"/>
        <w:jc w:val="both"/>
        <w:rPr>
          <w:rFonts w:ascii="Times New Roman" w:hAnsi="Times New Roman"/>
          <w:sz w:val="24"/>
          <w:szCs w:val="24"/>
        </w:rPr>
      </w:pPr>
    </w:p>
    <w:p w:rsidR="00000F58" w:rsidRPr="00000F58" w:rsidRDefault="00000F58" w:rsidP="00000F58">
      <w:pPr>
        <w:numPr>
          <w:ilvl w:val="0"/>
          <w:numId w:val="62"/>
        </w:numPr>
        <w:spacing w:after="0" w:line="360" w:lineRule="auto"/>
        <w:ind w:left="284" w:hanging="284"/>
        <w:contextualSpacing/>
        <w:jc w:val="both"/>
        <w:rPr>
          <w:rFonts w:eastAsiaTheme="minorHAnsi"/>
          <w:sz w:val="24"/>
          <w:szCs w:val="24"/>
        </w:rPr>
      </w:pPr>
      <w:r w:rsidRPr="00000F58">
        <w:rPr>
          <w:rFonts w:eastAsiaTheme="minorHAnsi"/>
          <w:sz w:val="24"/>
          <w:szCs w:val="24"/>
        </w:rPr>
        <w:t xml:space="preserve">Рейтинговая группа II - Индекс корпоративных облигаций (1-3 года, BB- ≤ рейтинг &lt; BBB-), </w:t>
      </w:r>
    </w:p>
    <w:p w:rsidR="00000F58" w:rsidRPr="00000F58" w:rsidRDefault="00000F58" w:rsidP="00000F58">
      <w:pPr>
        <w:spacing w:after="0" w:line="360" w:lineRule="auto"/>
        <w:ind w:firstLine="284"/>
        <w:jc w:val="both"/>
        <w:rPr>
          <w:rFonts w:ascii="Times New Roman" w:hAnsi="Times New Roman"/>
          <w:b/>
          <w:sz w:val="24"/>
          <w:szCs w:val="24"/>
        </w:rPr>
      </w:pPr>
      <w:proofErr w:type="spellStart"/>
      <w:r w:rsidRPr="00000F58">
        <w:rPr>
          <w:rFonts w:ascii="Times New Roman" w:hAnsi="Times New Roman"/>
          <w:sz w:val="24"/>
          <w:szCs w:val="24"/>
        </w:rPr>
        <w:t>Тикер</w:t>
      </w:r>
      <w:proofErr w:type="spellEnd"/>
      <w:r w:rsidRPr="00000F58">
        <w:rPr>
          <w:rFonts w:ascii="Times New Roman" w:hAnsi="Times New Roman"/>
          <w:sz w:val="24"/>
          <w:szCs w:val="24"/>
        </w:rPr>
        <w:t xml:space="preserve"> - </w:t>
      </w:r>
      <w:r w:rsidRPr="00000F58">
        <w:rPr>
          <w:rFonts w:ascii="Times New Roman" w:hAnsi="Times New Roman"/>
          <w:b/>
          <w:sz w:val="24"/>
          <w:szCs w:val="24"/>
        </w:rPr>
        <w:t>RUCBICPBB3Y;</w:t>
      </w:r>
    </w:p>
    <w:p w:rsidR="00000F58" w:rsidRPr="00000F58" w:rsidRDefault="00000F58" w:rsidP="00000F58">
      <w:pPr>
        <w:spacing w:after="0" w:line="360" w:lineRule="auto"/>
        <w:jc w:val="both"/>
        <w:rPr>
          <w:rFonts w:ascii="Times New Roman" w:hAnsi="Times New Roman"/>
          <w:sz w:val="24"/>
          <w:szCs w:val="24"/>
        </w:rPr>
      </w:pPr>
    </w:p>
    <w:p w:rsidR="00000F58" w:rsidRPr="00000F58" w:rsidRDefault="00000F58" w:rsidP="00000F58">
      <w:pPr>
        <w:numPr>
          <w:ilvl w:val="0"/>
          <w:numId w:val="62"/>
        </w:numPr>
        <w:spacing w:after="0" w:line="360" w:lineRule="auto"/>
        <w:ind w:left="284" w:hanging="284"/>
        <w:contextualSpacing/>
        <w:jc w:val="both"/>
        <w:rPr>
          <w:rFonts w:eastAsiaTheme="minorHAnsi"/>
          <w:sz w:val="24"/>
          <w:szCs w:val="24"/>
        </w:rPr>
      </w:pPr>
      <w:r w:rsidRPr="00000F58">
        <w:rPr>
          <w:rFonts w:eastAsiaTheme="minorHAnsi"/>
          <w:sz w:val="24"/>
          <w:szCs w:val="24"/>
        </w:rPr>
        <w:t xml:space="preserve">Рейтинговая группа III - Индекс корпоративных облигаций (1-3 года, B- ≤ рейтинг &lt; BB-), </w:t>
      </w:r>
    </w:p>
    <w:p w:rsidR="00000F58" w:rsidRPr="00000F58" w:rsidRDefault="00000F58" w:rsidP="00000F58">
      <w:pPr>
        <w:spacing w:after="0" w:line="360" w:lineRule="auto"/>
        <w:ind w:firstLine="284"/>
        <w:jc w:val="both"/>
        <w:rPr>
          <w:rFonts w:ascii="Times New Roman" w:hAnsi="Times New Roman"/>
          <w:b/>
          <w:sz w:val="24"/>
          <w:szCs w:val="24"/>
        </w:rPr>
      </w:pPr>
      <w:proofErr w:type="spellStart"/>
      <w:r w:rsidRPr="00000F58">
        <w:rPr>
          <w:rFonts w:ascii="Times New Roman" w:hAnsi="Times New Roman"/>
          <w:sz w:val="24"/>
          <w:szCs w:val="24"/>
        </w:rPr>
        <w:t>Тикер</w:t>
      </w:r>
      <w:proofErr w:type="spellEnd"/>
      <w:r w:rsidRPr="00000F58">
        <w:rPr>
          <w:rFonts w:ascii="Times New Roman" w:hAnsi="Times New Roman"/>
          <w:sz w:val="24"/>
          <w:szCs w:val="24"/>
        </w:rPr>
        <w:t xml:space="preserve"> - </w:t>
      </w:r>
      <w:r w:rsidRPr="00000F58">
        <w:rPr>
          <w:rFonts w:ascii="Times New Roman" w:hAnsi="Times New Roman"/>
          <w:b/>
          <w:sz w:val="24"/>
          <w:szCs w:val="24"/>
        </w:rPr>
        <w:t>RUCBICPB3Y;</w:t>
      </w:r>
    </w:p>
    <w:p w:rsidR="00000F58" w:rsidRPr="00000F58" w:rsidRDefault="00000F58" w:rsidP="00000F58">
      <w:pPr>
        <w:spacing w:after="0" w:line="360" w:lineRule="auto"/>
        <w:jc w:val="both"/>
        <w:rPr>
          <w:rFonts w:ascii="Times New Roman" w:hAnsi="Times New Roman"/>
          <w:sz w:val="24"/>
          <w:szCs w:val="24"/>
        </w:rPr>
      </w:pPr>
    </w:p>
    <w:p w:rsidR="00000F58" w:rsidRPr="00000F58" w:rsidRDefault="00000F58" w:rsidP="00000F58">
      <w:pPr>
        <w:numPr>
          <w:ilvl w:val="0"/>
          <w:numId w:val="62"/>
        </w:numPr>
        <w:spacing w:after="0" w:line="360" w:lineRule="auto"/>
        <w:ind w:left="284" w:hanging="284"/>
        <w:contextualSpacing/>
        <w:jc w:val="both"/>
        <w:rPr>
          <w:sz w:val="24"/>
          <w:szCs w:val="24"/>
        </w:rPr>
      </w:pPr>
      <w:r w:rsidRPr="00000F58">
        <w:rPr>
          <w:rFonts w:eastAsiaTheme="minorHAnsi"/>
          <w:sz w:val="24"/>
          <w:szCs w:val="24"/>
        </w:rPr>
        <w:t xml:space="preserve">Рейтинговая группа IV - </w:t>
      </w:r>
      <w:r w:rsidRPr="00000F58">
        <w:rPr>
          <w:sz w:val="24"/>
          <w:szCs w:val="24"/>
        </w:rPr>
        <w:t>выбирается Индекс в зависимости от котировального уровня, в который входит долговая ценная бумага:</w:t>
      </w:r>
      <w:r w:rsidRPr="00000F58">
        <w:rPr>
          <w:rFonts w:eastAsiaTheme="minorHAnsi"/>
          <w:sz w:val="24"/>
          <w:szCs w:val="24"/>
        </w:rPr>
        <w:t xml:space="preserve"> Индекс котировальных листов (котировальный уровень 2)</w:t>
      </w:r>
      <w:r w:rsidRPr="00000F58">
        <w:rPr>
          <w:sz w:val="24"/>
          <w:szCs w:val="24"/>
        </w:rPr>
        <w:t xml:space="preserve"> или Индекс котировальных листов (котировальный уровень 3)</w:t>
      </w:r>
      <w:r w:rsidRPr="00000F58">
        <w:rPr>
          <w:rFonts w:eastAsiaTheme="minorHAnsi"/>
          <w:sz w:val="24"/>
          <w:szCs w:val="24"/>
        </w:rPr>
        <w:t xml:space="preserve">, </w:t>
      </w:r>
    </w:p>
    <w:p w:rsidR="00000F58" w:rsidRPr="00000F58" w:rsidRDefault="00000F58" w:rsidP="00000F58">
      <w:pPr>
        <w:spacing w:after="0" w:line="360" w:lineRule="auto"/>
        <w:ind w:firstLine="284"/>
        <w:jc w:val="both"/>
        <w:rPr>
          <w:rFonts w:ascii="Times New Roman" w:hAnsi="Times New Roman"/>
          <w:sz w:val="24"/>
          <w:szCs w:val="24"/>
        </w:rPr>
      </w:pPr>
      <w:proofErr w:type="spellStart"/>
      <w:r w:rsidRPr="00000F58">
        <w:rPr>
          <w:rFonts w:ascii="Times New Roman" w:hAnsi="Times New Roman"/>
          <w:sz w:val="24"/>
          <w:szCs w:val="24"/>
        </w:rPr>
        <w:t>Тикер</w:t>
      </w:r>
      <w:proofErr w:type="spellEnd"/>
      <w:r w:rsidRPr="00000F58">
        <w:rPr>
          <w:rFonts w:ascii="Times New Roman" w:hAnsi="Times New Roman"/>
          <w:sz w:val="24"/>
          <w:szCs w:val="24"/>
        </w:rPr>
        <w:t xml:space="preserve"> - </w:t>
      </w:r>
      <w:r w:rsidRPr="00000F58">
        <w:rPr>
          <w:rFonts w:ascii="Times New Roman" w:hAnsi="Times New Roman"/>
          <w:b/>
          <w:sz w:val="24"/>
          <w:szCs w:val="24"/>
        </w:rPr>
        <w:t>RUCBICPL2</w:t>
      </w:r>
      <w:r w:rsidRPr="00000F58">
        <w:rPr>
          <w:rFonts w:ascii="Times New Roman" w:hAnsi="Times New Roman"/>
          <w:sz w:val="24"/>
          <w:szCs w:val="24"/>
        </w:rPr>
        <w:t xml:space="preserve"> </w:t>
      </w:r>
    </w:p>
    <w:p w:rsidR="00000F58" w:rsidRPr="00000F58" w:rsidRDefault="00000F58" w:rsidP="00000F58">
      <w:pPr>
        <w:spacing w:after="0" w:line="360" w:lineRule="auto"/>
        <w:ind w:firstLine="284"/>
        <w:jc w:val="both"/>
        <w:rPr>
          <w:rFonts w:ascii="Times New Roman" w:hAnsi="Times New Roman"/>
          <w:sz w:val="24"/>
          <w:szCs w:val="24"/>
        </w:rPr>
      </w:pPr>
      <w:proofErr w:type="spellStart"/>
      <w:r w:rsidRPr="00000F58">
        <w:rPr>
          <w:rFonts w:ascii="Times New Roman" w:hAnsi="Times New Roman"/>
          <w:sz w:val="24"/>
          <w:szCs w:val="24"/>
        </w:rPr>
        <w:t>Тикер</w:t>
      </w:r>
      <w:proofErr w:type="spellEnd"/>
      <w:r w:rsidRPr="00000F58">
        <w:rPr>
          <w:rFonts w:ascii="Times New Roman" w:hAnsi="Times New Roman"/>
          <w:sz w:val="24"/>
          <w:szCs w:val="24"/>
        </w:rPr>
        <w:t xml:space="preserve"> -</w:t>
      </w:r>
      <w:r w:rsidRPr="00000F58">
        <w:rPr>
          <w:rFonts w:ascii="Times New Roman" w:hAnsi="Times New Roman"/>
          <w:b/>
          <w:sz w:val="24"/>
          <w:szCs w:val="24"/>
        </w:rPr>
        <w:t>RUCBICPL3</w:t>
      </w:r>
      <w:r w:rsidRPr="00000F58">
        <w:rPr>
          <w:rFonts w:ascii="Times New Roman" w:hAnsi="Times New Roman"/>
          <w:sz w:val="24"/>
          <w:szCs w:val="24"/>
        </w:rPr>
        <w:t>.</w:t>
      </w:r>
    </w:p>
    <w:p w:rsidR="00000F58" w:rsidRPr="00000F58" w:rsidRDefault="00000F58" w:rsidP="00000F58">
      <w:pPr>
        <w:spacing w:line="360" w:lineRule="auto"/>
        <w:contextualSpacing/>
        <w:rPr>
          <w:sz w:val="24"/>
          <w:szCs w:val="24"/>
        </w:rPr>
      </w:pP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 xml:space="preserve">Расчет </w:t>
      </w:r>
      <w:proofErr w:type="gramStart"/>
      <w:r w:rsidRPr="00000F58">
        <w:rPr>
          <w:rFonts w:ascii="Times New Roman" w:hAnsi="Times New Roman"/>
          <w:sz w:val="24"/>
          <w:szCs w:val="24"/>
        </w:rPr>
        <w:t>кредитного</w:t>
      </w:r>
      <w:proofErr w:type="gramEnd"/>
      <w:r w:rsidRPr="00000F58">
        <w:rPr>
          <w:rFonts w:ascii="Times New Roman" w:hAnsi="Times New Roman"/>
          <w:sz w:val="24"/>
          <w:szCs w:val="24"/>
        </w:rPr>
        <w:t xml:space="preserve"> спреда для рейтинговых групп осуществляется по следующим формулам:</w:t>
      </w:r>
    </w:p>
    <w:p w:rsidR="00000F58" w:rsidRPr="00000F58" w:rsidRDefault="00000F58" w:rsidP="00000F58">
      <w:pPr>
        <w:spacing w:after="120" w:line="360" w:lineRule="auto"/>
        <w:ind w:firstLine="426"/>
        <w:jc w:val="both"/>
        <w:rPr>
          <w:rFonts w:ascii="Times New Roman" w:hAnsi="Times New Roman"/>
          <w:b/>
          <w:sz w:val="24"/>
          <w:szCs w:val="24"/>
        </w:rPr>
      </w:pPr>
      <w:r w:rsidRPr="00000F58">
        <w:rPr>
          <w:rFonts w:ascii="Times New Roman" w:hAnsi="Times New Roman"/>
          <w:b/>
          <w:sz w:val="24"/>
          <w:szCs w:val="24"/>
        </w:rPr>
        <w:t>Рейтинговая группа I:</w:t>
      </w:r>
    </w:p>
    <w:p w:rsidR="00000F58" w:rsidRPr="00000F58" w:rsidRDefault="00000F58" w:rsidP="00000F58">
      <w:pPr>
        <w:spacing w:after="120" w:line="360" w:lineRule="auto"/>
        <w:ind w:firstLine="426"/>
        <w:jc w:val="both"/>
        <w:rPr>
          <w:rFonts w:ascii="Times New Roman" w:hAnsi="Times New Roman"/>
          <w:sz w:val="24"/>
          <w:szCs w:val="24"/>
        </w:rPr>
      </w:pPr>
      <w:proofErr w:type="gramStart"/>
      <w:r w:rsidRPr="00000F58">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000F5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000F58" w:rsidRPr="00000F58" w:rsidRDefault="00F16FD2" w:rsidP="00000F58">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Cambria Math" w:hAnsi="Cambria Math"/>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Cambria Math" w:hAnsi="Cambria Math"/>
              <w:sz w:val="24"/>
              <w:szCs w:val="24"/>
            </w:rPr>
            <m:t>*</m:t>
          </m:r>
          <m:r>
            <m:rPr>
              <m:sty m:val="p"/>
            </m:rPr>
            <w:rPr>
              <w:rFonts w:ascii="Cambria Math" w:hAnsi="Times New Roman"/>
              <w:sz w:val="24"/>
              <w:szCs w:val="24"/>
            </w:rPr>
            <m:t>100</m:t>
          </m:r>
        </m:oMath>
      </m:oMathPara>
    </w:p>
    <w:p w:rsidR="00000F58" w:rsidRPr="00000F58" w:rsidRDefault="00000F58" w:rsidP="00000F58">
      <w:pPr>
        <w:spacing w:after="120" w:line="360" w:lineRule="auto"/>
        <w:ind w:firstLine="426"/>
        <w:jc w:val="both"/>
        <w:rPr>
          <w:rFonts w:ascii="Times New Roman" w:hAnsi="Times New Roman"/>
          <w:sz w:val="24"/>
          <w:szCs w:val="24"/>
        </w:rPr>
      </w:pP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где:</w:t>
      </w:r>
    </w:p>
    <w:p w:rsidR="00000F58" w:rsidRPr="00000F58" w:rsidRDefault="00000F58" w:rsidP="00000F58">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000F58">
        <w:rPr>
          <w:rFonts w:ascii="Times New Roman" w:hAnsi="Times New Roman"/>
          <w:sz w:val="24"/>
          <w:szCs w:val="24"/>
        </w:rPr>
        <w:t xml:space="preserve"> – значение доходности соответствующего индекса, раскрытого ПАО «Московская биржа».</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 xml:space="preserve">Рассчитывается медианное значение кредитного спреда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00F58">
        <w:rPr>
          <w:rFonts w:ascii="Times New Roman" w:hAnsi="Times New Roman"/>
          <w:sz w:val="24"/>
          <w:szCs w:val="24"/>
        </w:rPr>
        <w:t xml:space="preserve"> за </w:t>
      </w:r>
      <w:proofErr w:type="gramStart"/>
      <w:r w:rsidRPr="00000F58">
        <w:rPr>
          <w:rFonts w:ascii="Times New Roman" w:hAnsi="Times New Roman"/>
          <w:sz w:val="24"/>
          <w:szCs w:val="24"/>
        </w:rPr>
        <w:t>последние</w:t>
      </w:r>
      <w:proofErr w:type="gramEnd"/>
      <w:r w:rsidRPr="00000F58">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00F5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00F5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000F58" w:rsidRPr="00000F58" w:rsidRDefault="00000F58" w:rsidP="00000F58">
      <w:pPr>
        <w:spacing w:after="120" w:line="360" w:lineRule="auto"/>
        <w:ind w:firstLine="426"/>
        <w:jc w:val="both"/>
        <w:rPr>
          <w:rFonts w:ascii="Times New Roman" w:hAnsi="Times New Roman"/>
          <w:b/>
          <w:sz w:val="24"/>
          <w:szCs w:val="24"/>
        </w:rPr>
      </w:pPr>
      <w:r w:rsidRPr="00000F58">
        <w:rPr>
          <w:rFonts w:ascii="Times New Roman" w:hAnsi="Times New Roman"/>
          <w:sz w:val="24"/>
          <w:szCs w:val="24"/>
        </w:rPr>
        <w:lastRenderedPageBreak/>
        <w:t xml:space="preserve"> </w:t>
      </w:r>
      <w:r w:rsidRPr="00000F58">
        <w:rPr>
          <w:rFonts w:ascii="Times New Roman" w:hAnsi="Times New Roman"/>
          <w:b/>
          <w:sz w:val="24"/>
          <w:szCs w:val="24"/>
        </w:rPr>
        <w:t>Рейтинговая группа II</w:t>
      </w:r>
    </w:p>
    <w:p w:rsidR="00000F58" w:rsidRPr="00000F58" w:rsidRDefault="00000F58" w:rsidP="00000F58">
      <w:pPr>
        <w:spacing w:after="120" w:line="360" w:lineRule="auto"/>
        <w:ind w:firstLine="426"/>
        <w:jc w:val="both"/>
        <w:rPr>
          <w:rFonts w:ascii="Times New Roman" w:hAnsi="Times New Roman"/>
          <w:sz w:val="24"/>
          <w:szCs w:val="24"/>
        </w:rPr>
      </w:pPr>
      <w:proofErr w:type="gramStart"/>
      <w:r w:rsidRPr="00000F58">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00F5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000F58" w:rsidRPr="00000F58" w:rsidRDefault="00F16FD2" w:rsidP="00000F58">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Cambria Math" w:hAnsi="Cambria Math"/>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Cambria Math" w:hAnsi="Cambria Math"/>
              <w:sz w:val="24"/>
              <w:szCs w:val="24"/>
            </w:rPr>
            <m:t>*</m:t>
          </m:r>
          <m:r>
            <m:rPr>
              <m:sty m:val="p"/>
            </m:rPr>
            <w:rPr>
              <w:rFonts w:ascii="Cambria Math" w:hAnsi="Times New Roman"/>
              <w:sz w:val="24"/>
              <w:szCs w:val="24"/>
            </w:rPr>
            <m:t>100</m:t>
          </m:r>
        </m:oMath>
      </m:oMathPara>
    </w:p>
    <w:p w:rsidR="00000F58" w:rsidRPr="00000F58" w:rsidRDefault="00000F58" w:rsidP="00000F58">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000F58">
        <w:rPr>
          <w:rFonts w:ascii="Times New Roman" w:hAnsi="Times New Roman"/>
          <w:sz w:val="24"/>
          <w:szCs w:val="24"/>
        </w:rPr>
        <w:t xml:space="preserve"> – значение доходности соответствующего индекса, раскрытого ПАО «Московская биржа».</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 xml:space="preserve">Рассчитывается медианное значение кредитного спреда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00F58">
        <w:rPr>
          <w:rFonts w:ascii="Times New Roman" w:hAnsi="Times New Roman"/>
          <w:sz w:val="24"/>
          <w:szCs w:val="24"/>
        </w:rPr>
        <w:t xml:space="preserve"> за </w:t>
      </w:r>
      <w:proofErr w:type="gramStart"/>
      <w:r w:rsidRPr="00000F58">
        <w:rPr>
          <w:rFonts w:ascii="Times New Roman" w:hAnsi="Times New Roman"/>
          <w:sz w:val="24"/>
          <w:szCs w:val="24"/>
        </w:rPr>
        <w:t>последние</w:t>
      </w:r>
      <w:proofErr w:type="gramEnd"/>
      <w:r w:rsidRPr="00000F58">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00F5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00F5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000F58" w:rsidRPr="00000F58" w:rsidRDefault="00000F58" w:rsidP="00000F58">
      <w:pPr>
        <w:spacing w:after="120" w:line="360" w:lineRule="auto"/>
        <w:ind w:firstLine="426"/>
        <w:jc w:val="both"/>
        <w:rPr>
          <w:rFonts w:ascii="Times New Roman" w:hAnsi="Times New Roman"/>
          <w:b/>
          <w:sz w:val="24"/>
          <w:szCs w:val="24"/>
        </w:rPr>
      </w:pPr>
      <w:r w:rsidRPr="00000F58">
        <w:rPr>
          <w:rFonts w:ascii="Times New Roman" w:hAnsi="Times New Roman"/>
          <w:b/>
          <w:sz w:val="24"/>
          <w:szCs w:val="24"/>
        </w:rPr>
        <w:t>Рейтинговая группа III</w:t>
      </w:r>
    </w:p>
    <w:p w:rsidR="00000F58" w:rsidRPr="00000F58" w:rsidRDefault="00000F58" w:rsidP="00000F58">
      <w:pPr>
        <w:spacing w:after="120" w:line="360" w:lineRule="auto"/>
        <w:ind w:firstLine="426"/>
        <w:jc w:val="both"/>
        <w:rPr>
          <w:rFonts w:ascii="Times New Roman" w:hAnsi="Times New Roman"/>
          <w:sz w:val="24"/>
          <w:szCs w:val="24"/>
        </w:rPr>
      </w:pPr>
      <w:proofErr w:type="gramStart"/>
      <w:r w:rsidRPr="00000F58">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00F5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000F58" w:rsidRPr="00000F58" w:rsidRDefault="00F16FD2" w:rsidP="00000F58">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Cambria Math" w:hAnsi="Cambria Math"/>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Cambria Math" w:hAnsi="Cambria Math"/>
              <w:sz w:val="24"/>
              <w:szCs w:val="24"/>
            </w:rPr>
            <m:t>*</m:t>
          </m:r>
          <m:r>
            <m:rPr>
              <m:sty m:val="p"/>
            </m:rPr>
            <w:rPr>
              <w:rFonts w:ascii="Cambria Math" w:hAnsi="Times New Roman"/>
              <w:sz w:val="24"/>
              <w:szCs w:val="24"/>
            </w:rPr>
            <m:t>100</m:t>
          </m:r>
        </m:oMath>
      </m:oMathPara>
    </w:p>
    <w:p w:rsidR="00000F58" w:rsidRPr="00000F58" w:rsidRDefault="00000F58" w:rsidP="00000F58">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000F58">
        <w:rPr>
          <w:rFonts w:ascii="Times New Roman" w:hAnsi="Times New Roman"/>
          <w:sz w:val="24"/>
          <w:szCs w:val="24"/>
        </w:rPr>
        <w:t xml:space="preserve"> – значение доходности соответствующего индекса, раскрытого ПАО «Московская биржа».</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 xml:space="preserve">Рассчитывается медианное значение кредитного спреда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00F58">
        <w:rPr>
          <w:rFonts w:ascii="Times New Roman" w:hAnsi="Times New Roman"/>
          <w:sz w:val="24"/>
          <w:szCs w:val="24"/>
        </w:rPr>
        <w:t xml:space="preserve"> за </w:t>
      </w:r>
      <w:proofErr w:type="gramStart"/>
      <w:r w:rsidRPr="00000F58">
        <w:rPr>
          <w:rFonts w:ascii="Times New Roman" w:hAnsi="Times New Roman"/>
          <w:sz w:val="24"/>
          <w:szCs w:val="24"/>
        </w:rPr>
        <w:t>последние</w:t>
      </w:r>
      <w:proofErr w:type="gramEnd"/>
      <w:r w:rsidRPr="00000F58">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00F5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00F5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000F58" w:rsidRPr="00000F58" w:rsidRDefault="00000F58" w:rsidP="00000F58">
      <w:pPr>
        <w:spacing w:after="120" w:line="360" w:lineRule="auto"/>
        <w:ind w:firstLine="426"/>
        <w:jc w:val="both"/>
        <w:rPr>
          <w:rFonts w:ascii="Times New Roman" w:hAnsi="Times New Roman"/>
          <w:b/>
          <w:sz w:val="24"/>
          <w:szCs w:val="24"/>
        </w:rPr>
      </w:pPr>
      <w:r w:rsidRPr="00000F58">
        <w:rPr>
          <w:rFonts w:ascii="Times New Roman" w:hAnsi="Times New Roman"/>
          <w:b/>
          <w:sz w:val="24"/>
          <w:szCs w:val="24"/>
        </w:rPr>
        <w:t>Рейтинговая группа IV</w:t>
      </w:r>
    </w:p>
    <w:p w:rsidR="00000F58" w:rsidRPr="00000F58" w:rsidRDefault="00000F58" w:rsidP="00000F58">
      <w:pPr>
        <w:spacing w:after="120" w:line="360" w:lineRule="auto"/>
        <w:ind w:firstLine="426"/>
        <w:jc w:val="both"/>
        <w:rPr>
          <w:rFonts w:ascii="Times New Roman" w:hAnsi="Times New Roman"/>
          <w:sz w:val="24"/>
          <w:szCs w:val="24"/>
        </w:rPr>
      </w:pPr>
      <w:proofErr w:type="gramStart"/>
      <w:r w:rsidRPr="00000F58">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00F5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000F58" w:rsidRPr="00000F58" w:rsidRDefault="00F16FD2" w:rsidP="00000F58">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Cambria Math" w:hAnsi="Cambria Math"/>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Cambria Math" w:hAnsi="Cambria Math"/>
            <w:sz w:val="24"/>
            <w:szCs w:val="24"/>
          </w:rPr>
          <m:t>*</m:t>
        </m:r>
        <m:r>
          <m:rPr>
            <m:sty m:val="p"/>
          </m:rPr>
          <w:rPr>
            <w:rFonts w:ascii="Cambria Math" w:hAnsi="Times New Roman"/>
            <w:sz w:val="24"/>
            <w:szCs w:val="24"/>
          </w:rPr>
          <m:t>100</m:t>
        </m:r>
      </m:oMath>
      <w:r w:rsidR="00000F58" w:rsidRPr="00000F58">
        <w:rPr>
          <w:rFonts w:ascii="Times New Roman" w:hAnsi="Times New Roman"/>
          <w:sz w:val="24"/>
          <w:szCs w:val="24"/>
        </w:rPr>
        <w:t>, (Формула 1)</w:t>
      </w:r>
    </w:p>
    <w:p w:rsidR="00000F58" w:rsidRPr="00000F58" w:rsidRDefault="00F16FD2" w:rsidP="00000F58">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Cambria Math" w:hAnsi="Cambria Math"/>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Cambria Math" w:hAnsi="Cambria Math"/>
            <w:sz w:val="24"/>
            <w:szCs w:val="24"/>
          </w:rPr>
          <m:t>*</m:t>
        </m:r>
        <m:r>
          <m:rPr>
            <m:sty m:val="p"/>
          </m:rPr>
          <w:rPr>
            <w:rFonts w:ascii="Cambria Math" w:hAnsi="Times New Roman"/>
            <w:sz w:val="24"/>
            <w:szCs w:val="24"/>
          </w:rPr>
          <m:t>100</m:t>
        </m:r>
      </m:oMath>
      <w:r w:rsidR="00000F58" w:rsidRPr="00000F58">
        <w:rPr>
          <w:rFonts w:ascii="Times New Roman" w:hAnsi="Times New Roman"/>
          <w:sz w:val="24"/>
          <w:szCs w:val="24"/>
        </w:rPr>
        <w:t>, (Формула 2)</w:t>
      </w:r>
    </w:p>
    <w:p w:rsidR="00000F58" w:rsidRPr="00000F58" w:rsidRDefault="00000F58" w:rsidP="00000F58">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000F58">
        <w:rPr>
          <w:rFonts w:ascii="Times New Roman" w:hAnsi="Times New Roman"/>
          <w:sz w:val="24"/>
          <w:szCs w:val="24"/>
        </w:rPr>
        <w:t xml:space="preserve"> – значение доходности соответствующего индекса, раскрытого ПАО «Московская биржа».</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lastRenderedPageBreak/>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000F58" w:rsidRPr="00000F58" w:rsidRDefault="00000F58" w:rsidP="00000F58">
      <w:pPr>
        <w:spacing w:after="120" w:line="360" w:lineRule="auto"/>
        <w:ind w:firstLine="426"/>
        <w:jc w:val="both"/>
        <w:rPr>
          <w:rFonts w:ascii="Times New Roman" w:hAnsi="Times New Roman"/>
          <w:sz w:val="24"/>
          <w:szCs w:val="24"/>
        </w:rPr>
      </w:pPr>
      <w:r w:rsidRPr="00000F58">
        <w:rPr>
          <w:rFonts w:ascii="Times New Roman" w:hAnsi="Times New Roman"/>
          <w:sz w:val="24"/>
          <w:szCs w:val="24"/>
        </w:rPr>
        <w:t>Рассчитывается медианное значение кредитного спреда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000F58">
        <w:rPr>
          <w:rFonts w:ascii="Times New Roman" w:hAnsi="Times New Roman"/>
          <w:sz w:val="24"/>
          <w:szCs w:val="24"/>
        </w:rPr>
        <w:t xml:space="preserve"> за </w:t>
      </w:r>
      <w:proofErr w:type="gramStart"/>
      <w:r w:rsidRPr="00000F58">
        <w:rPr>
          <w:rFonts w:ascii="Times New Roman" w:hAnsi="Times New Roman"/>
          <w:sz w:val="24"/>
          <w:szCs w:val="24"/>
        </w:rPr>
        <w:t>последние</w:t>
      </w:r>
      <w:proofErr w:type="gramEnd"/>
      <w:r w:rsidRPr="00000F58">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000F5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000F5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3674B4" w:rsidRPr="00755189" w:rsidRDefault="003674B4" w:rsidP="00000F58">
      <w:pPr>
        <w:pStyle w:val="13"/>
        <w:tabs>
          <w:tab w:val="left" w:pos="4233"/>
        </w:tabs>
        <w:autoSpaceDN w:val="0"/>
        <w:spacing w:before="120" w:line="360" w:lineRule="auto"/>
        <w:ind w:left="360"/>
        <w:jc w:val="both"/>
      </w:pPr>
    </w:p>
    <w:sectPr w:rsidR="003674B4" w:rsidRPr="00755189"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D2" w:rsidRDefault="00F16FD2" w:rsidP="0095677F">
      <w:pPr>
        <w:spacing w:after="0" w:line="240" w:lineRule="auto"/>
      </w:pPr>
      <w:r>
        <w:separator/>
      </w:r>
    </w:p>
  </w:endnote>
  <w:endnote w:type="continuationSeparator" w:id="0">
    <w:p w:rsidR="00F16FD2" w:rsidRDefault="00F16FD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0" w:rsidRDefault="002457E0">
    <w:pPr>
      <w:pStyle w:val="afc"/>
      <w:jc w:val="right"/>
    </w:pPr>
    <w:r>
      <w:fldChar w:fldCharType="begin"/>
    </w:r>
    <w:r>
      <w:instrText xml:space="preserve"> PAGE   \* MERGEFORMAT </w:instrText>
    </w:r>
    <w:r>
      <w:fldChar w:fldCharType="separate"/>
    </w:r>
    <w:r w:rsidR="004451F2">
      <w:rPr>
        <w:noProof/>
      </w:rPr>
      <w:t>58</w:t>
    </w:r>
    <w:r>
      <w:rPr>
        <w:noProof/>
      </w:rPr>
      <w:fldChar w:fldCharType="end"/>
    </w:r>
  </w:p>
  <w:p w:rsidR="002457E0" w:rsidRDefault="002457E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D2" w:rsidRDefault="00F16FD2" w:rsidP="0095677F">
      <w:pPr>
        <w:spacing w:after="0" w:line="240" w:lineRule="auto"/>
      </w:pPr>
      <w:r>
        <w:separator/>
      </w:r>
    </w:p>
  </w:footnote>
  <w:footnote w:type="continuationSeparator" w:id="0">
    <w:p w:rsidR="00F16FD2" w:rsidRDefault="00F16FD2" w:rsidP="0095677F">
      <w:pPr>
        <w:spacing w:after="0" w:line="240" w:lineRule="auto"/>
      </w:pPr>
      <w:r>
        <w:continuationSeparator/>
      </w:r>
    </w:p>
  </w:footnote>
  <w:footnote w:id="1">
    <w:p w:rsidR="002457E0" w:rsidRDefault="002457E0"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6">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7">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8">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9">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1"/>
  </w:num>
  <w:num w:numId="2">
    <w:abstractNumId w:val="20"/>
  </w:num>
  <w:num w:numId="3">
    <w:abstractNumId w:val="56"/>
  </w:num>
  <w:num w:numId="4">
    <w:abstractNumId w:val="10"/>
  </w:num>
  <w:num w:numId="5">
    <w:abstractNumId w:val="16"/>
  </w:num>
  <w:num w:numId="6">
    <w:abstractNumId w:val="53"/>
  </w:num>
  <w:num w:numId="7">
    <w:abstractNumId w:val="50"/>
  </w:num>
  <w:num w:numId="8">
    <w:abstractNumId w:val="34"/>
  </w:num>
  <w:num w:numId="9">
    <w:abstractNumId w:val="28"/>
  </w:num>
  <w:num w:numId="10">
    <w:abstractNumId w:val="3"/>
  </w:num>
  <w:num w:numId="11">
    <w:abstractNumId w:val="12"/>
  </w:num>
  <w:num w:numId="12">
    <w:abstractNumId w:val="51"/>
  </w:num>
  <w:num w:numId="13">
    <w:abstractNumId w:val="52"/>
  </w:num>
  <w:num w:numId="14">
    <w:abstractNumId w:val="13"/>
  </w:num>
  <w:num w:numId="15">
    <w:abstractNumId w:val="29"/>
  </w:num>
  <w:num w:numId="16">
    <w:abstractNumId w:val="24"/>
  </w:num>
  <w:num w:numId="17">
    <w:abstractNumId w:val="31"/>
  </w:num>
  <w:num w:numId="18">
    <w:abstractNumId w:val="8"/>
  </w:num>
  <w:num w:numId="19">
    <w:abstractNumId w:val="57"/>
  </w:num>
  <w:num w:numId="20">
    <w:abstractNumId w:val="55"/>
  </w:num>
  <w:num w:numId="21">
    <w:abstractNumId w:val="6"/>
  </w:num>
  <w:num w:numId="22">
    <w:abstractNumId w:val="18"/>
  </w:num>
  <w:num w:numId="23">
    <w:abstractNumId w:val="30"/>
  </w:num>
  <w:num w:numId="24">
    <w:abstractNumId w:val="22"/>
  </w:num>
  <w:num w:numId="25">
    <w:abstractNumId w:val="40"/>
  </w:num>
  <w:num w:numId="26">
    <w:abstractNumId w:val="58"/>
  </w:num>
  <w:num w:numId="27">
    <w:abstractNumId w:val="27"/>
  </w:num>
  <w:num w:numId="28">
    <w:abstractNumId w:val="54"/>
  </w:num>
  <w:num w:numId="29">
    <w:abstractNumId w:val="4"/>
  </w:num>
  <w:num w:numId="30">
    <w:abstractNumId w:val="44"/>
  </w:num>
  <w:num w:numId="31">
    <w:abstractNumId w:val="2"/>
  </w:num>
  <w:num w:numId="32">
    <w:abstractNumId w:val="46"/>
  </w:num>
  <w:num w:numId="33">
    <w:abstractNumId w:val="37"/>
  </w:num>
  <w:num w:numId="34">
    <w:abstractNumId w:val="19"/>
  </w:num>
  <w:num w:numId="35">
    <w:abstractNumId w:val="48"/>
  </w:num>
  <w:num w:numId="36">
    <w:abstractNumId w:val="42"/>
  </w:num>
  <w:num w:numId="37">
    <w:abstractNumId w:val="47"/>
  </w:num>
  <w:num w:numId="38">
    <w:abstractNumId w:val="33"/>
  </w:num>
  <w:num w:numId="39">
    <w:abstractNumId w:val="23"/>
  </w:num>
  <w:num w:numId="40">
    <w:abstractNumId w:val="25"/>
  </w:num>
  <w:num w:numId="41">
    <w:abstractNumId w:val="7"/>
  </w:num>
  <w:num w:numId="42">
    <w:abstractNumId w:val="39"/>
  </w:num>
  <w:num w:numId="43">
    <w:abstractNumId w:val="49"/>
  </w:num>
  <w:num w:numId="44">
    <w:abstractNumId w:val="0"/>
  </w:num>
  <w:num w:numId="45">
    <w:abstractNumId w:val="21"/>
  </w:num>
  <w:num w:numId="46">
    <w:abstractNumId w:val="32"/>
  </w:num>
  <w:num w:numId="47">
    <w:abstractNumId w:val="45"/>
  </w:num>
  <w:num w:numId="48">
    <w:abstractNumId w:val="11"/>
  </w:num>
  <w:num w:numId="49">
    <w:abstractNumId w:val="26"/>
  </w:num>
  <w:num w:numId="50">
    <w:abstractNumId w:val="17"/>
  </w:num>
  <w:num w:numId="51">
    <w:abstractNumId w:val="38"/>
  </w:num>
  <w:num w:numId="52">
    <w:abstractNumId w:val="43"/>
  </w:num>
  <w:num w:numId="53">
    <w:abstractNumId w:val="15"/>
  </w:num>
  <w:num w:numId="54">
    <w:abstractNumId w:val="14"/>
  </w:num>
  <w:num w:numId="55">
    <w:abstractNumId w:val="1"/>
  </w:num>
  <w:num w:numId="56">
    <w:abstractNumId w:val="36"/>
  </w:num>
  <w:num w:numId="57">
    <w:abstractNumId w:val="36"/>
    <w:lvlOverride w:ilvl="0">
      <w:startOverride w:val="1"/>
    </w:lvlOverride>
  </w:num>
  <w:num w:numId="58">
    <w:abstractNumId w:val="35"/>
  </w:num>
  <w:num w:numId="59">
    <w:abstractNumId w:val="9"/>
  </w:num>
  <w:num w:numId="60">
    <w:abstractNumId w:val="20"/>
  </w:num>
  <w:num w:numId="61">
    <w:abstractNumId w:val="59"/>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0F58"/>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84F"/>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48F5"/>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8F1"/>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7E0"/>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1CC"/>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1F2"/>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698"/>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10"/>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5E"/>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9EC"/>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514"/>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8A0"/>
    <w:rsid w:val="00754986"/>
    <w:rsid w:val="00754A89"/>
    <w:rsid w:val="00754B1B"/>
    <w:rsid w:val="00754D1E"/>
    <w:rsid w:val="00754D22"/>
    <w:rsid w:val="00755189"/>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1F6"/>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20"/>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BD3"/>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37E"/>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10"/>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5CDC"/>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AA0"/>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D97"/>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559"/>
    <w:rsid w:val="00E32603"/>
    <w:rsid w:val="00E3266E"/>
    <w:rsid w:val="00E32770"/>
    <w:rsid w:val="00E32E9B"/>
    <w:rsid w:val="00E32ED4"/>
    <w:rsid w:val="00E32FAD"/>
    <w:rsid w:val="00E33147"/>
    <w:rsid w:val="00E33584"/>
    <w:rsid w:val="00E33670"/>
    <w:rsid w:val="00E3370C"/>
    <w:rsid w:val="00E33DD3"/>
    <w:rsid w:val="00E34063"/>
    <w:rsid w:val="00E34262"/>
    <w:rsid w:val="00E34280"/>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3E84"/>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1A"/>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6FD2"/>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072">
      <w:bodyDiv w:val="1"/>
      <w:marLeft w:val="0"/>
      <w:marRight w:val="0"/>
      <w:marTop w:val="0"/>
      <w:marBottom w:val="0"/>
      <w:divBdr>
        <w:top w:val="none" w:sz="0" w:space="0" w:color="auto"/>
        <w:left w:val="none" w:sz="0" w:space="0" w:color="auto"/>
        <w:bottom w:val="none" w:sz="0" w:space="0" w:color="auto"/>
        <w:right w:val="none" w:sz="0" w:space="0" w:color="auto"/>
      </w:divBdr>
    </w:div>
    <w:div w:id="18942594">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3897322">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423380039">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57699860">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49.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hyperlink" Target="https://www.spratings.com/documents/20184/774196/2016+Annual+Global+Corporate+Default+Study+And+Rating+Transitions.pdf/2ddcf9dd-3b82-4151-9dab-8e3fc70a7035"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image" Target="media/image33.wmf"/><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237FA-3EC4-4FF0-BC84-972DB1FB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17781</Words>
  <Characters>101357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118901</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4</cp:revision>
  <cp:lastPrinted>2015-12-21T07:18:00Z</cp:lastPrinted>
  <dcterms:created xsi:type="dcterms:W3CDTF">2019-10-31T11:17:00Z</dcterms:created>
  <dcterms:modified xsi:type="dcterms:W3CDTF">2019-10-31T12:47:00Z</dcterms:modified>
</cp:coreProperties>
</file>