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8E5B0B">
              <w:rPr>
                <w:rFonts w:ascii="Times New Roman" w:eastAsia="Times New Roman" w:hAnsi="Times New Roman"/>
                <w:color w:val="000000"/>
                <w:sz w:val="24"/>
                <w:szCs w:val="24"/>
                <w:lang w:eastAsia="ar-SA"/>
              </w:rPr>
              <w:t>12</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372C05">
              <w:rPr>
                <w:rFonts w:ascii="Times New Roman" w:eastAsia="Times New Roman" w:hAnsi="Times New Roman"/>
                <w:color w:val="000000"/>
                <w:sz w:val="24"/>
                <w:szCs w:val="24"/>
                <w:lang w:eastAsia="ar-SA"/>
              </w:rPr>
              <w:t>23</w:t>
            </w:r>
            <w:r w:rsidR="00375D9F"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372C05">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331C09">
        <w:rPr>
          <w:rFonts w:ascii="Times New Roman" w:hAnsi="Times New Roman" w:cs="Times New Roman"/>
          <w:color w:val="000000"/>
          <w:sz w:val="24"/>
          <w:szCs w:val="24"/>
        </w:rPr>
        <w:t>Мобильный капитал</w:t>
      </w:r>
      <w:r w:rsidRPr="00816D84">
        <w:rPr>
          <w:rFonts w:ascii="Times New Roman" w:hAnsi="Times New Roman" w:cs="Times New Roman"/>
          <w:color w:val="000000"/>
          <w:sz w:val="24"/>
          <w:szCs w:val="24"/>
        </w:rPr>
        <w:t xml:space="preserve">» </w:t>
      </w:r>
    </w:p>
    <w:p w:rsidR="00C31FA9" w:rsidRPr="00C31FA9" w:rsidRDefault="00C31FA9" w:rsidP="00816D84">
      <w:bookmarkStart w:id="0" w:name="_GoBack"/>
      <w:bookmarkEnd w:id="0"/>
    </w:p>
    <w:p w:rsidR="00C31FA9" w:rsidRPr="00C31FA9" w:rsidRDefault="00C31FA9" w:rsidP="00816D84"/>
    <w:p w:rsidR="00C31FA9" w:rsidRPr="00C31FA9" w:rsidRDefault="00C31FA9" w:rsidP="00331C09">
      <w:pPr>
        <w:numPr>
          <w:ilvl w:val="0"/>
          <w:numId w:val="37"/>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31C09" w:rsidRPr="00331C09">
        <w:rPr>
          <w:rFonts w:ascii="Times New Roman" w:hAnsi="Times New Roman"/>
          <w:sz w:val="24"/>
          <w:szCs w:val="24"/>
        </w:rPr>
        <w:t>Мобильный капитал</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375D9F">
        <w:rPr>
          <w:rFonts w:ascii="Times New Roman" w:hAnsi="Times New Roman"/>
          <w:sz w:val="24"/>
          <w:szCs w:val="24"/>
        </w:rPr>
        <w:t>июля 2021</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331C09" w:rsidRPr="00331C09">
        <w:rPr>
          <w:rFonts w:ascii="Times New Roman" w:hAnsi="Times New Roman"/>
          <w:snapToGrid w:val="0"/>
          <w:sz w:val="28"/>
          <w:szCs w:val="28"/>
        </w:rPr>
        <w:t>Мобильный капитал</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31C09" w:rsidRPr="00331C09">
        <w:rPr>
          <w:rFonts w:ascii="Times New Roman" w:hAnsi="Times New Roman" w:cs="Times New Roman"/>
          <w:sz w:val="24"/>
          <w:szCs w:val="24"/>
        </w:rPr>
        <w:t>Мобильный капитал</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816D84" w:rsidRPr="00644934">
        <w:rPr>
          <w:rFonts w:ascii="Times New Roman" w:hAnsi="Times New Roman"/>
          <w:sz w:val="24"/>
          <w:szCs w:val="24"/>
        </w:rPr>
        <w:t>июля 2021</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c"/>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c"/>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4934">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c"/>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c"/>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w:t>
      </w:r>
      <w:r w:rsidR="00DB559B" w:rsidRPr="00644934">
        <w:rPr>
          <w:rFonts w:ascii="Times New Roman" w:hAnsi="Times New Roman"/>
          <w:sz w:val="24"/>
          <w:szCs w:val="24"/>
        </w:rPr>
        <w:lastRenderedPageBreak/>
        <w:t>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c"/>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c"/>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361203">
      <w:pPr>
        <w:pStyle w:val="ac"/>
        <w:numPr>
          <w:ilvl w:val="0"/>
          <w:numId w:val="43"/>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361203">
      <w:pPr>
        <w:pStyle w:val="ac"/>
        <w:numPr>
          <w:ilvl w:val="0"/>
          <w:numId w:val="43"/>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c"/>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5.45pt" o:ole="">
            <v:imagedata r:id="rId14" o:title=""/>
          </v:shape>
          <o:OLEObject Type="Embed" ProgID="Equation.3" ShapeID="_x0000_i1025" DrawAspect="Content" ObjectID="_1685954469"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35pt;height:12.35pt" o:ole="">
            <v:imagedata r:id="rId16" o:title=""/>
          </v:shape>
          <o:OLEObject Type="Embed" ProgID="Equation.3" ShapeID="_x0000_i1026" DrawAspect="Content" ObjectID="_1685954470"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2pt;height:19.55pt" o:ole="">
            <v:imagedata r:id="rId18" o:title=""/>
          </v:shape>
          <o:OLEObject Type="Embed" ProgID="Equation.3" ShapeID="_x0000_i1027" DrawAspect="Content" ObjectID="_1685954471"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35pt;height:19.55pt" o:ole="">
            <v:imagedata r:id="rId20" o:title=""/>
          </v:shape>
          <o:OLEObject Type="Embed" ProgID="Equation.3" ShapeID="_x0000_i1028" DrawAspect="Content" ObjectID="_1685954472"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pt;height:49.35pt" o:ole="">
            <v:imagedata r:id="rId22" o:title=""/>
          </v:shape>
          <o:OLEObject Type="Embed" ProgID="Equation.3" ShapeID="_x0000_i1029" DrawAspect="Content" ObjectID="_1685954473"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35pt;height:19.55pt" o:ole="">
            <v:imagedata r:id="rId24" o:title=""/>
          </v:shape>
          <o:OLEObject Type="Embed" ProgID="Equation.3" ShapeID="_x0000_i1030" DrawAspect="Content" ObjectID="_1685954474"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65pt;height:19.55pt" o:ole="">
            <v:imagedata r:id="rId26" o:title=""/>
          </v:shape>
          <o:OLEObject Type="Embed" ProgID="Equation.3" ShapeID="_x0000_i1031" DrawAspect="Content" ObjectID="_1685954475"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3pt;height:11.3pt" o:ole="">
            <v:imagedata r:id="rId28" o:title=""/>
          </v:shape>
          <o:OLEObject Type="Embed" ProgID="Equation.3" ShapeID="_x0000_i1032" DrawAspect="Content" ObjectID="_1685954476"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7pt;height:22.65pt" o:ole="">
            <v:imagedata r:id="rId30" o:title=""/>
          </v:shape>
          <o:OLEObject Type="Embed" ProgID="Equation.3" ShapeID="_x0000_i1033" DrawAspect="Content" ObjectID="_1685954477"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7pt;height:24.7pt" o:ole="">
            <v:imagedata r:id="rId32" o:title=""/>
          </v:shape>
          <o:OLEObject Type="Embed" ProgID="Equation.3" ShapeID="_x0000_i1034" DrawAspect="Content" ObjectID="_1685954478"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35pt;height:19.55pt" o:ole="">
            <v:imagedata r:id="rId34" o:title=""/>
          </v:shape>
          <o:OLEObject Type="Embed" ProgID="Equation.3" ShapeID="_x0000_i1035" DrawAspect="Content" ObjectID="_1685954479"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45pt;height:32.9pt" o:ole="">
                  <v:imagedata r:id="rId36" o:title=""/>
                </v:shape>
                <o:OLEObject Type="Embed" ProgID="Equation.3" ShapeID="_x0000_i1071" DrawAspect="Content" ObjectID="_1685954480"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35pt;height:19.55pt" o:ole="">
            <v:imagedata r:id="rId38" o:title=""/>
          </v:shape>
          <o:OLEObject Type="Embed" ProgID="Equation.3" ShapeID="_x0000_i1036" DrawAspect="Content" ObjectID="_1685954481"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2pt;height:19.55pt" o:ole="">
            <v:imagedata r:id="rId40" o:title=""/>
          </v:shape>
          <o:OLEObject Type="Embed" ProgID="Equation.3" ShapeID="_x0000_i1037" DrawAspect="Content" ObjectID="_1685954482"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15pt;height:49.35pt" o:ole="">
            <v:imagedata r:id="rId42" o:title=""/>
          </v:shape>
          <o:OLEObject Type="Embed" ProgID="Equation.3" ShapeID="_x0000_i1038" DrawAspect="Content" ObjectID="_1685954483"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35pt;height:19.55pt" o:ole="">
            <v:imagedata r:id="rId44" o:title=""/>
          </v:shape>
          <o:OLEObject Type="Embed" ProgID="Equation.3" ShapeID="_x0000_i1039" DrawAspect="Content" ObjectID="_1685954484"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35pt;height:19.55pt" o:ole="">
            <v:imagedata r:id="rId46" o:title=""/>
          </v:shape>
          <o:OLEObject Type="Embed" ProgID="Equation.3" ShapeID="_x0000_i1040" DrawAspect="Content" ObjectID="_1685954485"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35pt;height:12.35pt" o:ole="">
            <v:imagedata r:id="rId16" o:title=""/>
          </v:shape>
          <o:OLEObject Type="Embed" ProgID="Equation.3" ShapeID="_x0000_i1041" DrawAspect="Content" ObjectID="_1685954486"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2.35pt;height:19.55pt" o:ole="">
            <v:imagedata r:id="rId49" o:title=""/>
          </v:shape>
          <o:OLEObject Type="Embed" ProgID="Equation.3" ShapeID="_x0000_i1042" DrawAspect="Content" ObjectID="_1685954487"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35pt;height:19.55pt" o:ole="">
            <v:imagedata r:id="rId46" o:title=""/>
          </v:shape>
          <o:OLEObject Type="Embed" ProgID="Equation.3" ShapeID="_x0000_i1043" DrawAspect="Content" ObjectID="_1685954488"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2.35pt;height:19.55pt" o:ole="">
            <v:imagedata r:id="rId49" o:title=""/>
          </v:shape>
          <o:OLEObject Type="Embed" ProgID="Equation.3" ShapeID="_x0000_i1044" DrawAspect="Content" ObjectID="_1685954489"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35pt;height:19.55pt" o:ole="">
            <v:imagedata r:id="rId46" o:title=""/>
          </v:shape>
          <o:OLEObject Type="Embed" ProgID="Equation.3" ShapeID="_x0000_i1045" DrawAspect="Content" ObjectID="_1685954490"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8pt;height:19.55pt" o:ole="">
            <v:imagedata r:id="rId54" o:title=""/>
          </v:shape>
          <o:OLEObject Type="Embed" ProgID="Equation.3" ShapeID="_x0000_i1046" DrawAspect="Content" ObjectID="_1685954491"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2pt;height:19.55pt" o:ole="">
            <v:imagedata r:id="rId56" o:title=""/>
          </v:shape>
          <o:OLEObject Type="Embed" ProgID="Equation.3" ShapeID="_x0000_i1047" DrawAspect="Content" ObjectID="_1685954492"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35pt;height:19.55pt" o:ole="">
            <v:imagedata r:id="rId46" o:title=""/>
          </v:shape>
          <o:OLEObject Type="Embed" ProgID="Equation.3" ShapeID="_x0000_i1048" DrawAspect="Content" ObjectID="_1685954493"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6pt;height:132.7pt" o:ole="">
            <v:imagedata r:id="rId59" o:title=""/>
          </v:shape>
          <o:OLEObject Type="Embed" ProgID="Equation.3" ShapeID="_x0000_i1049" DrawAspect="Content" ObjectID="_1685954494"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35pt;height:19.55pt" o:ole="">
            <v:imagedata r:id="rId61" o:title=""/>
          </v:shape>
          <o:OLEObject Type="Embed" ProgID="Equation.3" ShapeID="_x0000_i1050" DrawAspect="Content" ObjectID="_1685954495"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7pt;height:19.55pt" o:ole="">
            <v:imagedata r:id="rId63" o:title=""/>
          </v:shape>
          <o:OLEObject Type="Embed" ProgID="Equation.3" ShapeID="_x0000_i1051" DrawAspect="Content" ObjectID="_1685954496"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85pt;height:32.9pt" o:ole="">
            <v:imagedata r:id="rId65" o:title=""/>
          </v:shape>
          <o:OLEObject Type="Embed" ProgID="Equation.3" ShapeID="_x0000_i1052" DrawAspect="Content" ObjectID="_1685954497"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3pt;height:11.3pt" o:ole="">
            <v:imagedata r:id="rId28" o:title=""/>
          </v:shape>
          <o:OLEObject Type="Embed" ProgID="Equation.3" ShapeID="_x0000_i1053" DrawAspect="Content" ObjectID="_1685954498"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7pt;height:22.65pt" o:ole="">
            <v:imagedata r:id="rId30" o:title=""/>
          </v:shape>
          <o:OLEObject Type="Embed" ProgID="Equation.3" ShapeID="_x0000_i1054" DrawAspect="Content" ObjectID="_1685954499"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2.35pt;height:19.55pt" o:ole="">
            <v:imagedata r:id="rId49" o:title=""/>
          </v:shape>
          <o:OLEObject Type="Embed" ProgID="Equation.3" ShapeID="_x0000_i1055" DrawAspect="Content" ObjectID="_1685954500"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7pt;height:24.7pt" o:ole="">
            <v:imagedata r:id="rId32" o:title=""/>
          </v:shape>
          <o:OLEObject Type="Embed" ProgID="Equation.3" ShapeID="_x0000_i1056" DrawAspect="Content" ObjectID="_1685954501"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2.35pt;height:19.55pt" o:ole="">
            <v:imagedata r:id="rId49" o:title=""/>
          </v:shape>
          <o:OLEObject Type="Embed" ProgID="Equation.3" ShapeID="_x0000_i1057" DrawAspect="Content" ObjectID="_1685954502"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35pt;height:19.55pt" o:ole="">
            <v:imagedata r:id="rId34" o:title=""/>
          </v:shape>
          <o:OLEObject Type="Embed" ProgID="Equation.3" ShapeID="_x0000_i1058" DrawAspect="Content" ObjectID="_1685954503"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2.35pt;height:19.55pt" o:ole="">
            <v:imagedata r:id="rId49" o:title=""/>
          </v:shape>
          <o:OLEObject Type="Embed" ProgID="Equation.3" ShapeID="_x0000_i1059" DrawAspect="Content" ObjectID="_1685954504"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45pt;height:19.55pt" o:ole="">
            <v:imagedata r:id="rId74" o:title=""/>
          </v:shape>
          <o:OLEObject Type="Embed" ProgID="Equation.3" ShapeID="_x0000_i1060" DrawAspect="Content" ObjectID="_1685954505"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35pt;height:19.55pt" o:ole="">
            <v:imagedata r:id="rId34" o:title=""/>
          </v:shape>
          <o:OLEObject Type="Embed" ProgID="Equation.3" ShapeID="_x0000_i1061" DrawAspect="Content" ObjectID="_1685954506"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2.35pt;height:19.55pt" o:ole="">
            <v:imagedata r:id="rId49" o:title=""/>
          </v:shape>
          <o:OLEObject Type="Embed" ProgID="Equation.3" ShapeID="_x0000_i1062" DrawAspect="Content" ObjectID="_1685954507"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45pt;height:32.9pt" o:ole="">
            <v:imagedata r:id="rId78" o:title=""/>
          </v:shape>
          <o:OLEObject Type="Embed" ProgID="Equation.3" ShapeID="_x0000_i1063" DrawAspect="Content" ObjectID="_1685954508"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75pt;height:64.8pt" o:ole="">
              <v:imagedata r:id="rId80" o:title=""/>
            </v:shape>
            <o:OLEObject Type="Embed" ProgID="Equation.3" ShapeID="_x0000_i1064" DrawAspect="Content" ObjectID="_1685954509"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65pt;height:63.75pt" o:ole="">
                  <v:imagedata r:id="rId82" o:title=""/>
                </v:shape>
                <o:OLEObject Type="Embed" ProgID="Equation.3" ShapeID="_x0000_i1072" DrawAspect="Content" ObjectID="_1685954510"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35pt;height:19.55pt" o:ole="">
            <v:imagedata r:id="rId46" o:title=""/>
          </v:shape>
          <o:OLEObject Type="Embed" ProgID="Equation.3" ShapeID="_x0000_i1065" DrawAspect="Content" ObjectID="_1685954511"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2pt;height:19.55pt" o:ole="">
            <v:imagedata r:id="rId56" o:title=""/>
          </v:shape>
          <o:OLEObject Type="Embed" ProgID="Equation.3" ShapeID="_x0000_i1066" DrawAspect="Content" ObjectID="_1685954512"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c"/>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w:t>
            </w:r>
            <w:r w:rsidRPr="001A6D24">
              <w:rPr>
                <w:rFonts w:ascii="Times New Roman" w:hAnsi="Times New Roman"/>
                <w:b/>
                <w:i/>
                <w:sz w:val="24"/>
                <w:szCs w:val="24"/>
              </w:rPr>
              <w:lastRenderedPageBreak/>
              <w:t xml:space="preserve">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c"/>
              <w:ind w:left="0"/>
              <w:jc w:val="center"/>
              <w:rPr>
                <w:rFonts w:ascii="Times New Roman" w:hAnsi="Times New Roman"/>
                <w:b/>
                <w:i/>
                <w:sz w:val="24"/>
                <w:szCs w:val="24"/>
                <w:u w:val="single"/>
              </w:rPr>
            </w:pPr>
            <w:r w:rsidRPr="001A6D24">
              <w:rPr>
                <w:rFonts w:ascii="Times New Roman" w:hAnsi="Times New Roman"/>
                <w:b/>
                <w:i/>
                <w:sz w:val="24"/>
                <w:szCs w:val="24"/>
              </w:rPr>
              <w:lastRenderedPageBreak/>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c"/>
              <w:ind w:left="0"/>
              <w:jc w:val="both"/>
              <w:rPr>
                <w:rFonts w:ascii="Times New Roman" w:hAnsi="Times New Roman"/>
                <w:b/>
                <w:sz w:val="24"/>
                <w:szCs w:val="24"/>
              </w:rPr>
            </w:pPr>
            <w:r w:rsidRPr="001A6D24">
              <w:rPr>
                <w:rFonts w:ascii="Times New Roman" w:hAnsi="Times New Roman"/>
                <w:b/>
                <w:sz w:val="24"/>
                <w:szCs w:val="24"/>
              </w:rPr>
              <w:lastRenderedPageBreak/>
              <w:t>Для российских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c"/>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c"/>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644934"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c"/>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lastRenderedPageBreak/>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c"/>
        <w:spacing w:line="360" w:lineRule="auto"/>
        <w:ind w:left="0" w:firstLine="720"/>
        <w:jc w:val="both"/>
        <w:rPr>
          <w:rFonts w:ascii="Times New Roman" w:hAnsi="Times New Roman"/>
          <w:sz w:val="24"/>
          <w:szCs w:val="24"/>
        </w:rPr>
      </w:pPr>
    </w:p>
    <w:p w:rsidR="00C40786" w:rsidRPr="001A6D24"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0"/>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c"/>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c"/>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c"/>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c"/>
              <w:spacing w:after="0" w:line="240" w:lineRule="auto"/>
              <w:ind w:left="0" w:firstLine="425"/>
              <w:jc w:val="both"/>
              <w:rPr>
                <w:rFonts w:ascii="Times New Roman" w:hAnsi="Times New Roman"/>
                <w:sz w:val="24"/>
                <w:szCs w:val="24"/>
              </w:rPr>
            </w:pPr>
          </w:p>
          <w:p w:rsidR="00D80D02" w:rsidRPr="001A6D24" w:rsidRDefault="00D80D02" w:rsidP="00ED5973">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lastRenderedPageBreak/>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c"/>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xml:space="preserve">, выбранные в </w:t>
            </w:r>
            <w:r w:rsidR="00D80D02" w:rsidRPr="001A6D24">
              <w:rPr>
                <w:rFonts w:ascii="Times New Roman" w:hAnsi="Times New Roman"/>
                <w:sz w:val="24"/>
                <w:szCs w:val="24"/>
              </w:rPr>
              <w:lastRenderedPageBreak/>
              <w:t>следующем порядке (убывания приоритета):</w:t>
            </w:r>
          </w:p>
          <w:p w:rsidR="00D80D02" w:rsidRPr="001A6D24" w:rsidRDefault="00D80D02" w:rsidP="00E209D1">
            <w:pPr>
              <w:pStyle w:val="ac"/>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c"/>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3F7A19">
            <w:pPr>
              <w:pStyle w:val="ac"/>
              <w:numPr>
                <w:ilvl w:val="0"/>
                <w:numId w:val="29"/>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c"/>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3F7A19">
            <w:pPr>
              <w:pStyle w:val="ac"/>
              <w:numPr>
                <w:ilvl w:val="0"/>
                <w:numId w:val="29"/>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c"/>
              <w:spacing w:after="0" w:line="240" w:lineRule="auto"/>
              <w:ind w:left="0" w:firstLine="425"/>
              <w:jc w:val="both"/>
              <w:rPr>
                <w:rFonts w:ascii="Times New Roman" w:hAnsi="Times New Roman"/>
                <w:sz w:val="24"/>
                <w:szCs w:val="24"/>
              </w:rPr>
            </w:pPr>
          </w:p>
          <w:p w:rsidR="00D80D02" w:rsidRPr="001A6D24" w:rsidRDefault="00281C4E" w:rsidP="005252CF">
            <w:pPr>
              <w:pStyle w:val="ac"/>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w:t>
            </w:r>
            <w:r w:rsidRPr="001A6D24">
              <w:rPr>
                <w:rFonts w:ascii="Times New Roman" w:hAnsi="Times New Roman"/>
                <w:sz w:val="24"/>
                <w:szCs w:val="24"/>
              </w:rPr>
              <w:lastRenderedPageBreak/>
              <w:t xml:space="preserve">международной финансовой организации </w:t>
            </w:r>
          </w:p>
        </w:tc>
        <w:tc>
          <w:tcPr>
            <w:tcW w:w="10734" w:type="dxa"/>
          </w:tcPr>
          <w:p w:rsidR="00C02F52" w:rsidRPr="001A6D24" w:rsidRDefault="00C02F52" w:rsidP="00C02F52">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lastRenderedPageBreak/>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w:t>
            </w:r>
            <w:r w:rsidRPr="001A6D24">
              <w:rPr>
                <w:rFonts w:ascii="Times New Roman" w:hAnsi="Times New Roman"/>
                <w:sz w:val="24"/>
                <w:szCs w:val="24"/>
              </w:rPr>
              <w:lastRenderedPageBreak/>
              <w:t>(из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c"/>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w:t>
            </w:r>
            <w:r w:rsidRPr="001A6D24">
              <w:rPr>
                <w:rFonts w:ascii="Times New Roman" w:eastAsia="Times New Roman" w:hAnsi="Times New Roman"/>
                <w:color w:val="000000"/>
                <w:sz w:val="24"/>
                <w:szCs w:val="24"/>
              </w:rPr>
              <w:lastRenderedPageBreak/>
              <w:t>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6F2789"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6F278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6F278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6F2789"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6F2789"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6F2789"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6F2789" w:rsidP="007E410E">
            <w:pPr>
              <w:pStyle w:val="HTML"/>
              <w:rPr>
                <w:rFonts w:ascii="Times New Roman" w:hAnsi="Times New Roman" w:cs="Times New Roman"/>
                <w:sz w:val="24"/>
                <w:szCs w:val="24"/>
              </w:rPr>
            </w:pPr>
            <w:hyperlink r:id="rId86" w:history="1">
              <w:r w:rsidR="007E410E" w:rsidRPr="001A6D24">
                <w:rPr>
                  <w:rStyle w:val="af"/>
                  <w:rFonts w:ascii="Times New Roman" w:hAnsi="Times New Roman" w:cs="Times New Roman"/>
                  <w:sz w:val="24"/>
                  <w:szCs w:val="24"/>
                </w:rPr>
                <w:t>https://home.treasury.gov/</w:t>
              </w:r>
            </w:hyperlink>
          </w:p>
          <w:p w:rsidR="00DA36E8" w:rsidRPr="001A6D24" w:rsidRDefault="006F2789"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6F278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6F2789"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6F278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6F278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6F2789"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6F278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w:t>
            </w:r>
            <w:r w:rsidRPr="001A6D24">
              <w:rPr>
                <w:rFonts w:ascii="Times New Roman" w:eastAsia="Times New Roman" w:hAnsi="Times New Roman"/>
                <w:color w:val="000000"/>
                <w:sz w:val="24"/>
                <w:szCs w:val="24"/>
              </w:rPr>
              <w:lastRenderedPageBreak/>
              <w:t>возникновения оснований для применения модели CAPM. К такой информации относится следующие значения: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lastRenderedPageBreak/>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c"/>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c"/>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lastRenderedPageBreak/>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4"/>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4"/>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4"/>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p>
          <w:p w:rsidR="00831887" w:rsidRPr="00491B63" w:rsidRDefault="006F2789" w:rsidP="00627DC0">
            <w:pPr>
              <w:pStyle w:val="ac"/>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c"/>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c"/>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c"/>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округляется до двух знаков после </w:t>
            </w:r>
            <w:r w:rsidRPr="001A6D24">
              <w:rPr>
                <w:rFonts w:ascii="Times New Roman" w:hAnsi="Times New Roman" w:cs="Times New Roman"/>
                <w:sz w:val="24"/>
                <w:szCs w:val="24"/>
              </w:rPr>
              <w:lastRenderedPageBreak/>
              <w:t>запятой.</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c"/>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c"/>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c"/>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c"/>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c"/>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c"/>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c"/>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c"/>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lastRenderedPageBreak/>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3F7A19">
            <w:pPr>
              <w:pStyle w:val="ac"/>
              <w:numPr>
                <w:ilvl w:val="0"/>
                <w:numId w:val="23"/>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c"/>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c"/>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lastRenderedPageBreak/>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c"/>
        <w:spacing w:after="0" w:line="240" w:lineRule="auto"/>
        <w:ind w:left="4820"/>
        <w:jc w:val="right"/>
        <w:rPr>
          <w:rFonts w:ascii="Times New Roman" w:hAnsi="Times New Roman"/>
          <w:b/>
          <w:sz w:val="24"/>
          <w:szCs w:val="24"/>
        </w:rPr>
      </w:pP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lastRenderedPageBreak/>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c"/>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lastRenderedPageBreak/>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35pt;height:19.55pt" o:ole="">
            <v:imagedata r:id="rId88" o:title=""/>
          </v:shape>
          <o:OLEObject Type="Embed" ProgID="Equation.3" ShapeID="_x0000_i1067" DrawAspect="Content" ObjectID="_1685954513"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55pt;height:19.55pt" o:ole="">
            <v:imagedata r:id="rId90" o:title=""/>
          </v:shape>
          <o:OLEObject Type="Embed" ProgID="Equation.3" ShapeID="_x0000_i1068" DrawAspect="Content" ObjectID="_1685954514"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c"/>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c"/>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35pt;height:19.55pt" o:ole="">
            <v:imagedata r:id="rId88" o:title=""/>
          </v:shape>
          <o:OLEObject Type="Embed" ProgID="Equation.3" ShapeID="_x0000_i1069" DrawAspect="Content" ObjectID="_1685954515"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55pt;height:19.55pt" o:ole="">
            <v:imagedata r:id="rId90" o:title=""/>
          </v:shape>
          <o:OLEObject Type="Embed" ProgID="Equation.3" ShapeID="_x0000_i1070" DrawAspect="Content" ObjectID="_1685954516"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c"/>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c"/>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c"/>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c"/>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c"/>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c"/>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c"/>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2"/>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2"/>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c"/>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c"/>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c"/>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c"/>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c"/>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c"/>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361203">
      <w:pPr>
        <w:pStyle w:val="ac"/>
        <w:numPr>
          <w:ilvl w:val="0"/>
          <w:numId w:val="64"/>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6F2789" w:rsidP="00252EA8">
      <w:pPr>
        <w:pStyle w:val="ac"/>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lastRenderedPageBreak/>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b"/>
        <w:shd w:val="clear" w:color="auto" w:fill="FFFFFF"/>
        <w:spacing w:before="0" w:beforeAutospacing="0" w:after="0" w:afterAutospacing="0" w:line="360" w:lineRule="auto"/>
        <w:ind w:firstLine="709"/>
        <w:jc w:val="both"/>
        <w:rPr>
          <w:rFonts w:cs="Times New Roman"/>
          <w:color w:val="auto"/>
        </w:rPr>
      </w:pPr>
    </w:p>
    <w:p w:rsidR="00A8430C" w:rsidRPr="00FA4440" w:rsidRDefault="00A8430C"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361203">
      <w:pPr>
        <w:pStyle w:val="ac"/>
        <w:numPr>
          <w:ilvl w:val="1"/>
          <w:numId w:val="70"/>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361203">
      <w:pPr>
        <w:pStyle w:val="ac"/>
        <w:numPr>
          <w:ilvl w:val="1"/>
          <w:numId w:val="70"/>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c"/>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c"/>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c"/>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lastRenderedPageBreak/>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6F2789"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w:t>
      </w:r>
      <w:r w:rsidRPr="00FA4440">
        <w:rPr>
          <w:rFonts w:ascii="Times New Roman" w:hAnsi="Times New Roman" w:cs="Times New Roman"/>
          <w:sz w:val="24"/>
          <w:szCs w:val="24"/>
        </w:rPr>
        <w:lastRenderedPageBreak/>
        <w:t xml:space="preserve">либо реестр филиалов и представительств иностранных рейтинговых агентств, публикуемых на сайте Банка России: </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c"/>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4"/>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4"/>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c"/>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4"/>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2F1129">
      <w:pPr>
        <w:pStyle w:val="ac"/>
        <w:numPr>
          <w:ilvl w:val="2"/>
          <w:numId w:val="81"/>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4"/>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w:t>
      </w:r>
      <w:r w:rsidRPr="00FA4440">
        <w:rPr>
          <w:rFonts w:ascii="Times New Roman" w:hAnsi="Times New Roman" w:cs="Times New Roman"/>
          <w:i/>
          <w:sz w:val="24"/>
          <w:szCs w:val="24"/>
        </w:rPr>
        <w:lastRenderedPageBreak/>
        <w:t>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c"/>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c"/>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4"/>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4"/>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c"/>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Официальное опубликование решения о признании банкротом.</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4"/>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c"/>
        <w:spacing w:line="360" w:lineRule="auto"/>
        <w:ind w:left="709"/>
        <w:rPr>
          <w:rFonts w:ascii="Times New Roman" w:hAnsi="Times New Roman" w:cs="Times New Roman"/>
          <w:sz w:val="24"/>
          <w:szCs w:val="24"/>
        </w:rPr>
      </w:pPr>
    </w:p>
    <w:p w:rsidR="00252EA8" w:rsidRPr="00FA4440" w:rsidRDefault="00252EA8" w:rsidP="002F1129">
      <w:pPr>
        <w:pStyle w:val="ac"/>
        <w:numPr>
          <w:ilvl w:val="1"/>
          <w:numId w:val="82"/>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lastRenderedPageBreak/>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2F1129">
      <w:pPr>
        <w:pStyle w:val="ac"/>
        <w:numPr>
          <w:ilvl w:val="2"/>
          <w:numId w:val="82"/>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361203">
      <w:pPr>
        <w:pStyle w:val="ac"/>
        <w:numPr>
          <w:ilvl w:val="0"/>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4"/>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4"/>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Формула 4. Расчет вероятности дефолта по методу оценки интенсивности.</w:t>
      </w:r>
    </w:p>
    <w:p w:rsidR="00252EA8" w:rsidRPr="007A5F0F" w:rsidRDefault="006F2789"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c"/>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lastRenderedPageBreak/>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2F1129">
      <w:pPr>
        <w:pStyle w:val="ac"/>
        <w:numPr>
          <w:ilvl w:val="1"/>
          <w:numId w:val="83"/>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4"/>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w:t>
      </w:r>
      <w:r w:rsidRPr="00FA4440">
        <w:rPr>
          <w:rFonts w:ascii="Times New Roman" w:hAnsi="Times New Roman" w:cs="Times New Roman"/>
          <w:sz w:val="24"/>
          <w:szCs w:val="24"/>
        </w:rPr>
        <w:lastRenderedPageBreak/>
        <w:t xml:space="preserve">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2F1129">
      <w:pPr>
        <w:pStyle w:val="ac"/>
        <w:numPr>
          <w:ilvl w:val="1"/>
          <w:numId w:val="83"/>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c"/>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c"/>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c"/>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lastRenderedPageBreak/>
        <w:t xml:space="preserve">В отношении задолженности, обеспеченной торгуемыми ценными бумагами: </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4"/>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c"/>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2F1129">
      <w:pPr>
        <w:pStyle w:val="ac"/>
        <w:numPr>
          <w:ilvl w:val="1"/>
          <w:numId w:val="83"/>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2F1129">
      <w:pPr>
        <w:pStyle w:val="ac"/>
        <w:numPr>
          <w:ilvl w:val="1"/>
          <w:numId w:val="83"/>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4"/>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2F1129">
      <w:pPr>
        <w:pStyle w:val="ac"/>
        <w:numPr>
          <w:ilvl w:val="2"/>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3"/>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целей п.5.13. используется цена закрытия + НКД, по данным следующих источников:</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2F1129">
      <w:pPr>
        <w:pStyle w:val="a0"/>
        <w:numPr>
          <w:ilvl w:val="0"/>
          <w:numId w:val="83"/>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2F1129">
      <w:pPr>
        <w:pStyle w:val="Default"/>
        <w:numPr>
          <w:ilvl w:val="1"/>
          <w:numId w:val="84"/>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2F1129">
      <w:pPr>
        <w:pStyle w:val="Default"/>
        <w:numPr>
          <w:ilvl w:val="1"/>
          <w:numId w:val="84"/>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c"/>
        <w:ind w:left="0"/>
        <w:jc w:val="right"/>
        <w:rPr>
          <w:rFonts w:ascii="Times New Roman" w:hAnsi="Times New Roman" w:cs="Times New Roman"/>
          <w:b/>
          <w:sz w:val="24"/>
          <w:szCs w:val="24"/>
        </w:rPr>
      </w:pPr>
    </w:p>
    <w:p w:rsidR="00FA4440" w:rsidRDefault="00FA4440" w:rsidP="00252EA8">
      <w:pPr>
        <w:pStyle w:val="ac"/>
        <w:ind w:left="0"/>
        <w:jc w:val="right"/>
        <w:rPr>
          <w:rFonts w:ascii="Times New Roman" w:hAnsi="Times New Roman" w:cs="Times New Roman"/>
          <w:b/>
          <w:sz w:val="24"/>
          <w:szCs w:val="24"/>
        </w:rPr>
      </w:pP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А к Приложению 6.</w:t>
      </w:r>
    </w:p>
    <w:p w:rsidR="00252EA8" w:rsidRPr="00FA4440" w:rsidRDefault="00252EA8" w:rsidP="00252EA8">
      <w:pPr>
        <w:pStyle w:val="ac"/>
        <w:ind w:left="0"/>
        <w:jc w:val="right"/>
        <w:rPr>
          <w:rFonts w:ascii="Times New Roman" w:hAnsi="Times New Roman" w:cs="Times New Roman"/>
          <w:color w:val="C00000"/>
          <w:sz w:val="24"/>
          <w:szCs w:val="24"/>
        </w:rPr>
      </w:pPr>
    </w:p>
    <w:p w:rsidR="00252EA8" w:rsidRPr="00FA4440" w:rsidRDefault="00252EA8" w:rsidP="00252EA8">
      <w:pPr>
        <w:pStyle w:val="ac"/>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361203">
      <w:pPr>
        <w:pStyle w:val="ac"/>
        <w:numPr>
          <w:ilvl w:val="0"/>
          <w:numId w:val="69"/>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6F2789" w:rsidP="00361203">
      <w:pPr>
        <w:pStyle w:val="ac"/>
        <w:numPr>
          <w:ilvl w:val="0"/>
          <w:numId w:val="79"/>
        </w:numPr>
        <w:spacing w:after="0" w:line="360" w:lineRule="auto"/>
        <w:jc w:val="both"/>
        <w:rPr>
          <w:rFonts w:ascii="Times New Roman" w:hAnsi="Times New Roman" w:cs="Times New Roman"/>
          <w:sz w:val="24"/>
          <w:szCs w:val="24"/>
        </w:rPr>
      </w:pPr>
      <w:hyperlink r:id="rId104" w:history="1">
        <w:r w:rsidR="00252EA8" w:rsidRPr="00FA4440">
          <w:rPr>
            <w:rStyle w:val="af"/>
            <w:rFonts w:ascii="Times New Roman" w:hAnsi="Times New Roman" w:cs="Times New Roman"/>
            <w:sz w:val="24"/>
            <w:szCs w:val="24"/>
            <w:lang w:val="en-US"/>
          </w:rPr>
          <w:t>https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www</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moodys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com</w:t>
        </w:r>
        <w:r w:rsidR="00252EA8" w:rsidRPr="00FA4440">
          <w:rPr>
            <w:rStyle w:val="af"/>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Б к Приложению 6.</w:t>
      </w:r>
    </w:p>
    <w:p w:rsidR="00252EA8" w:rsidRPr="00FA4440" w:rsidRDefault="00252EA8" w:rsidP="00252EA8">
      <w:pPr>
        <w:pStyle w:val="ac"/>
        <w:ind w:left="0"/>
        <w:jc w:val="center"/>
        <w:rPr>
          <w:rFonts w:ascii="Times New Roman" w:hAnsi="Times New Roman" w:cs="Times New Roman"/>
          <w:b/>
          <w:sz w:val="24"/>
          <w:szCs w:val="24"/>
        </w:rPr>
      </w:pPr>
    </w:p>
    <w:p w:rsidR="00252EA8" w:rsidRPr="00FA4440" w:rsidRDefault="00252EA8" w:rsidP="00252EA8">
      <w:pPr>
        <w:pStyle w:val="ac"/>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c"/>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
            <w:rFonts w:ascii="Times New Roman" w:hAnsi="Times New Roman" w:cs="Times New Roman"/>
            <w:sz w:val="24"/>
            <w:szCs w:val="24"/>
          </w:rPr>
          <w:t>http://moex.com/ru/index/RUCBITRBBB3Y/archive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
            <w:rFonts w:ascii="Times New Roman" w:hAnsi="Times New Roman" w:cs="Times New Roman"/>
            <w:sz w:val="24"/>
            <w:szCs w:val="24"/>
          </w:rPr>
          <w:t>http://moex.com/ru/index/RUCBITRBB3Y/archive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
            <w:rFonts w:ascii="Times New Roman" w:hAnsi="Times New Roman" w:cs="Times New Roman"/>
            <w:sz w:val="24"/>
            <w:szCs w:val="24"/>
          </w:rPr>
          <w:t>http://moex.com/ru/index/RUCBITRB3Y/archive/</w:t>
        </w:r>
      </w:hyperlink>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c"/>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c"/>
        <w:spacing w:line="360" w:lineRule="auto"/>
        <w:jc w:val="center"/>
        <w:rPr>
          <w:rFonts w:ascii="Times New Roman" w:hAnsi="Times New Roman" w:cs="Times New Roman"/>
          <w:b/>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c"/>
        <w:spacing w:after="60"/>
        <w:ind w:left="1440"/>
        <w:rPr>
          <w:rFonts w:ascii="Times New Roman" w:hAnsi="Times New Roman" w:cs="Times New Roman"/>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xml:space="preserve">BB(RU), </w:t>
            </w:r>
            <w:r w:rsidRPr="00FA4440">
              <w:rPr>
                <w:rFonts w:ascii="Times New Roman" w:hAnsi="Times New Roman" w:cs="Times New Roman"/>
                <w:sz w:val="24"/>
                <w:szCs w:val="24"/>
              </w:rPr>
              <w:lastRenderedPageBreak/>
              <w:t>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lastRenderedPageBreak/>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lastRenderedPageBreak/>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lastRenderedPageBreak/>
        <w:t>В процессе анализа Управляющая компания определяет:</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lastRenderedPageBreak/>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c"/>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c"/>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lastRenderedPageBreak/>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 xml:space="preserve">при погашении и (или) </w:t>
            </w:r>
            <w:r w:rsidRPr="00FE4DBD">
              <w:rPr>
                <w:rFonts w:ascii="Times New Roman" w:eastAsia="Times New Roman" w:hAnsi="Times New Roman"/>
                <w:bCs/>
                <w:color w:val="000000"/>
                <w:sz w:val="24"/>
                <w:szCs w:val="24"/>
              </w:rPr>
              <w:lastRenderedPageBreak/>
              <w:t>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c"/>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w:t>
            </w:r>
            <w:r w:rsidRPr="00FE4DBD">
              <w:rPr>
                <w:rFonts w:ascii="Times New Roman" w:eastAsia="Times New Roman" w:hAnsi="Times New Roman"/>
                <w:bCs/>
                <w:color w:val="000000"/>
                <w:sz w:val="24"/>
                <w:szCs w:val="24"/>
              </w:rPr>
              <w:lastRenderedPageBreak/>
              <w:t>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w:t>
            </w:r>
            <w:r w:rsidRPr="00FE4DBD">
              <w:rPr>
                <w:rFonts w:ascii="Times New Roman" w:eastAsia="Times New Roman" w:hAnsi="Times New Roman"/>
                <w:bCs/>
                <w:color w:val="000000"/>
                <w:sz w:val="24"/>
                <w:szCs w:val="24"/>
              </w:rPr>
              <w:lastRenderedPageBreak/>
              <w:t>расходов</w:t>
            </w:r>
            <w:r w:rsidRPr="00FE4DBD">
              <w:rPr>
                <w:rStyle w:val="af4"/>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w:t>
            </w:r>
            <w:r w:rsidRPr="00FE4DBD">
              <w:rPr>
                <w:rFonts w:ascii="Times New Roman" w:hAnsi="Times New Roman"/>
                <w:sz w:val="24"/>
                <w:szCs w:val="24"/>
              </w:rPr>
              <w:lastRenderedPageBreak/>
              <w:t>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c"/>
              <w:spacing w:after="0" w:line="240" w:lineRule="auto"/>
              <w:ind w:left="0"/>
              <w:jc w:val="both"/>
              <w:rPr>
                <w:rFonts w:ascii="Times New Roman" w:hAnsi="Times New Roman"/>
                <w:sz w:val="24"/>
                <w:szCs w:val="24"/>
              </w:rPr>
            </w:pPr>
            <w:r w:rsidRPr="003B545B">
              <w:rPr>
                <w:rFonts w:ascii="Times New Roman" w:hAnsi="Times New Roman"/>
                <w:sz w:val="24"/>
                <w:szCs w:val="24"/>
              </w:rPr>
              <w:t xml:space="preserve">- расходы третьих лиц, оплачиваемых в соответствии с </w:t>
            </w:r>
            <w:r w:rsidRPr="003B545B">
              <w:rPr>
                <w:rFonts w:ascii="Times New Roman" w:hAnsi="Times New Roman"/>
                <w:sz w:val="24"/>
                <w:szCs w:val="24"/>
              </w:rPr>
              <w:lastRenderedPageBreak/>
              <w:t>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Резерв на выплату вознаграждения  </w:t>
            </w:r>
          </w:p>
        </w:tc>
        <w:tc>
          <w:tcPr>
            <w:tcW w:w="3546" w:type="dxa"/>
          </w:tcPr>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
                  <w:rFonts w:ascii="Times New Roman" w:hAnsi="Times New Roman"/>
                  <w:sz w:val="24"/>
                  <w:szCs w:val="24"/>
                </w:rPr>
                <w:t xml:space="preserve">Приложением </w:t>
              </w:r>
              <w:r w:rsidR="00807373" w:rsidRPr="00FE4DBD">
                <w:rPr>
                  <w:rStyle w:val="af"/>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c"/>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c"/>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
                  <w:rFonts w:ascii="Times New Roman" w:hAnsi="Times New Roman"/>
                  <w:sz w:val="24"/>
                  <w:szCs w:val="24"/>
                </w:rPr>
                <w:t>Приложении 6</w:t>
              </w:r>
            </w:hyperlink>
            <w:r w:rsidRPr="00C87225">
              <w:rPr>
                <w:rStyle w:val="af"/>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c"/>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c"/>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hAnsi="Times New Roman"/>
              </w:rPr>
              <w:t>.</w:t>
            </w:r>
          </w:p>
          <w:p w:rsidR="000F15DB" w:rsidRPr="00FE4DBD" w:rsidRDefault="000F15DB" w:rsidP="000F15DB">
            <w:pPr>
              <w:pStyle w:val="ac"/>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rsidP="002144A6">
      <w:pPr>
        <w:pStyle w:val="aff7"/>
        <w:jc w:val="right"/>
      </w:pPr>
    </w:p>
    <w:p w:rsidR="00FE4DBD" w:rsidRDefault="00FE4DBD">
      <w:pPr>
        <w:rPr>
          <w:smallCaps/>
          <w:spacing w:val="5"/>
          <w:sz w:val="36"/>
          <w:szCs w:val="36"/>
        </w:rPr>
      </w:pPr>
      <w:r>
        <w:br w:type="page"/>
      </w:r>
    </w:p>
    <w:p w:rsidR="006B111A" w:rsidRPr="00FE4DBD" w:rsidRDefault="00725862" w:rsidP="002144A6">
      <w:pPr>
        <w:pStyle w:val="aff7"/>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c"/>
              <w:spacing w:after="0" w:line="240" w:lineRule="auto"/>
              <w:ind w:left="5"/>
              <w:jc w:val="both"/>
              <w:rPr>
                <w:rFonts w:ascii="Times New Roman" w:hAnsi="Times New Roman"/>
                <w:sz w:val="24"/>
                <w:szCs w:val="24"/>
              </w:rPr>
            </w:pPr>
          </w:p>
          <w:p w:rsidR="0077477B" w:rsidRPr="00FE4DBD" w:rsidRDefault="0077477B" w:rsidP="00E25E26">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c"/>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c"/>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8F642B" w:rsidRPr="00FE4DBD" w:rsidRDefault="008F642B" w:rsidP="00BA7770">
            <w:pPr>
              <w:pStyle w:val="ac"/>
              <w:spacing w:after="0"/>
              <w:ind w:left="0"/>
              <w:jc w:val="both"/>
              <w:rPr>
                <w:rFonts w:ascii="Times New Roman" w:hAnsi="Times New Roman"/>
                <w:sz w:val="24"/>
                <w:szCs w:val="24"/>
              </w:rPr>
            </w:pPr>
          </w:p>
        </w:tc>
      </w:tr>
    </w:tbl>
    <w:p w:rsidR="003950C6" w:rsidRPr="00FE4DBD" w:rsidRDefault="003950C6"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c"/>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c"/>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FE42BB" w:rsidRPr="00FE4DBD" w:rsidRDefault="00FE42BB" w:rsidP="001155AB">
            <w:pPr>
              <w:pStyle w:val="ac"/>
              <w:spacing w:after="0" w:line="240" w:lineRule="auto"/>
              <w:ind w:left="34"/>
              <w:jc w:val="both"/>
              <w:rPr>
                <w:rFonts w:ascii="Times New Roman" w:hAnsi="Times New Roman"/>
                <w:sz w:val="24"/>
                <w:szCs w:val="24"/>
              </w:rPr>
            </w:pPr>
          </w:p>
        </w:tc>
      </w:tr>
    </w:tbl>
    <w:p w:rsidR="00FE42BB" w:rsidRPr="00FE4DBD" w:rsidRDefault="00FE42BB" w:rsidP="00FE42BB">
      <w:pPr>
        <w:pStyle w:val="ac"/>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c"/>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c"/>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c"/>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c"/>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p w:rsidR="00701DDB" w:rsidRPr="00FE4DBD" w:rsidRDefault="00701DDB" w:rsidP="00FB3696">
            <w:pPr>
              <w:pStyle w:val="ac"/>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c"/>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1"/>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c"/>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c"/>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c"/>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c"/>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c"/>
              <w:spacing w:after="0" w:line="240" w:lineRule="auto"/>
              <w:ind w:left="317"/>
              <w:jc w:val="both"/>
              <w:rPr>
                <w:rFonts w:ascii="Verdana" w:eastAsia="Times New Roman" w:hAnsi="Verdana"/>
                <w:bCs/>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c"/>
              <w:rPr>
                <w:rFonts w:ascii="Times New Roman" w:eastAsia="Times New Roman" w:hAnsi="Times New Roman"/>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209D1">
            <w:pPr>
              <w:pStyle w:val="ac"/>
              <w:numPr>
                <w:ilvl w:val="0"/>
                <w:numId w:val="20"/>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4"/>
                <w:rFonts w:ascii="Times New Roman" w:eastAsia="Times New Roman" w:hAnsi="Times New Roman"/>
                <w:bCs/>
                <w:sz w:val="24"/>
                <w:szCs w:val="24"/>
              </w:rPr>
              <w:footnoteReference w:id="18"/>
            </w:r>
          </w:p>
          <w:p w:rsidR="00701DDB" w:rsidRPr="00E33760" w:rsidRDefault="00701DDB" w:rsidP="00E209D1">
            <w:pPr>
              <w:pStyle w:val="ac"/>
              <w:numPr>
                <w:ilvl w:val="0"/>
                <w:numId w:val="20"/>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701DDB">
            <w:pPr>
              <w:pStyle w:val="ac"/>
              <w:numPr>
                <w:ilvl w:val="0"/>
                <w:numId w:val="21"/>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F314F3">
            <w:pPr>
              <w:pStyle w:val="ac"/>
              <w:numPr>
                <w:ilvl w:val="0"/>
                <w:numId w:val="21"/>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F314F3">
            <w:pPr>
              <w:pStyle w:val="ac"/>
              <w:numPr>
                <w:ilvl w:val="0"/>
                <w:numId w:val="21"/>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c"/>
        <w:spacing w:line="360" w:lineRule="auto"/>
        <w:ind w:left="0" w:firstLine="720"/>
        <w:jc w:val="both"/>
        <w:rPr>
          <w:rFonts w:ascii="Times New Roman" w:hAnsi="Times New Roman"/>
          <w:sz w:val="24"/>
          <w:szCs w:val="24"/>
        </w:rPr>
      </w:pPr>
    </w:p>
    <w:p w:rsidR="003674B4" w:rsidRPr="00E33760" w:rsidRDefault="003674B4" w:rsidP="00851E74">
      <w:pPr>
        <w:pStyle w:val="ac"/>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701DDB" w:rsidRPr="00E33760" w:rsidRDefault="00701DDB" w:rsidP="00701DDB">
      <w:pPr>
        <w:jc w:val="center"/>
        <w:rPr>
          <w:rFonts w:ascii="Times New Roman" w:hAnsi="Times New Roman" w:cs="Times New Roman"/>
          <w:sz w:val="24"/>
          <w:szCs w:val="24"/>
        </w:rPr>
      </w:pPr>
      <w:bookmarkStart w:id="8" w:name="_Toc467177597"/>
      <w:bookmarkStart w:id="9" w:name="_Toc473901525"/>
      <w:bookmarkStart w:id="10" w:name="_Toc27398198"/>
      <w:r w:rsidRPr="00E33760">
        <w:rPr>
          <w:rFonts w:ascii="Times New Roman" w:hAnsi="Times New Roman" w:cs="Times New Roman"/>
          <w:b/>
          <w:sz w:val="24"/>
          <w:szCs w:val="24"/>
        </w:rPr>
        <w:t xml:space="preserve">МЕТОДИКА ОПРЕДЕЛЕНИЯ РАСЧЕТНОЙ ЦЕНЫ </w:t>
      </w:r>
      <w:bookmarkEnd w:id="8"/>
      <w:bookmarkEnd w:id="9"/>
      <w:bookmarkEnd w:id="10"/>
      <w:r w:rsidRPr="00E33760">
        <w:rPr>
          <w:rFonts w:ascii="Times New Roman" w:hAnsi="Times New Roman" w:cs="Times New Roman"/>
          <w:b/>
          <w:sz w:val="24"/>
          <w:szCs w:val="24"/>
        </w:rPr>
        <w:t>ДОЛГОВОЙ ЦЕННОЙ БУМАГИ</w:t>
      </w:r>
    </w:p>
    <w:p w:rsidR="00701DDB" w:rsidRPr="00E33760" w:rsidRDefault="00701DDB" w:rsidP="00701DDB">
      <w:pPr>
        <w:pStyle w:val="15"/>
        <w:pageBreakBefore w:val="0"/>
        <w:spacing w:before="0" w:after="0" w:line="312" w:lineRule="auto"/>
        <w:ind w:left="0" w:firstLine="0"/>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 Принципы определения расчетной цены </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9C2E83">
        <w:rPr>
          <w:rFonts w:ascii="Times New Roman" w:hAnsi="Times New Roman" w:cs="Times New Roman"/>
          <w:sz w:val="24"/>
          <w:szCs w:val="24"/>
        </w:rPr>
        <w:t xml:space="preserve"> </w:t>
      </w:r>
      <w:r w:rsidR="009C2E83">
        <w:rPr>
          <w:szCs w:val="24"/>
        </w:rPr>
        <w:t>(1)</w:t>
      </w:r>
      <w:r w:rsidRPr="00E33760">
        <w:rPr>
          <w:rFonts w:ascii="Times New Roman" w:hAnsi="Times New Roman" w:cs="Times New Roman"/>
          <w:sz w:val="24"/>
          <w:szCs w:val="24"/>
        </w:rPr>
        <w:t>:</w:t>
      </w:r>
    </w:p>
    <w:p w:rsidR="00701DDB" w:rsidRPr="00E33760" w:rsidRDefault="00335938" w:rsidP="00701DDB">
      <w:pPr>
        <w:spacing w:after="0" w:line="312"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r w:rsidRPr="00335938">
        <w:rPr>
          <w:rFonts w:ascii="Times New Roman" w:hAnsi="Times New Roman" w:cs="Times New Roman"/>
          <w:color w:val="000000"/>
          <w:sz w:val="28"/>
          <w:szCs w:val="28"/>
        </w:rPr>
        <w:t xml:space="preserve">  </w:t>
      </w:r>
      <m:oMath>
        <m:r>
          <m:rPr>
            <m:sty m:val="p"/>
          </m:rPr>
          <w:rPr>
            <w:rFonts w:ascii="Cambria Math" w:eastAsia="Batang" w:hAnsi="Cambria Math" w:cs="Times New Roman"/>
            <w:color w:val="000000"/>
            <w:sz w:val="28"/>
            <w:szCs w:val="28"/>
            <w:lang w:val="en-US"/>
          </w:rPr>
          <m:t>PV</m:t>
        </m:r>
        <m:r>
          <m:rPr>
            <m:sty m:val="p"/>
          </m:rPr>
          <w:rPr>
            <w:rFonts w:ascii="Cambria Math" w:eastAsia="Batang" w:hAnsi="Cambria Math" w:cs="Times New Roman"/>
            <w:color w:val="000000"/>
            <w:sz w:val="28"/>
            <w:szCs w:val="28"/>
          </w:rPr>
          <m:t>=</m:t>
        </m:r>
        <m:nary>
          <m:naryPr>
            <m:chr m:val="∑"/>
            <m:limLoc m:val="undOvr"/>
            <m:ctrlPr>
              <w:rPr>
                <w:rFonts w:ascii="Cambria Math" w:eastAsia="Batang" w:hAnsi="Cambria Math" w:cs="Times New Roman"/>
                <w:color w:val="000000"/>
                <w:sz w:val="28"/>
                <w:szCs w:val="28"/>
              </w:rPr>
            </m:ctrlPr>
          </m:naryPr>
          <m:sub>
            <m:r>
              <w:rPr>
                <w:rFonts w:ascii="Cambria Math" w:eastAsia="Batang" w:hAnsi="Cambria Math" w:cs="Times New Roman"/>
                <w:color w:val="000000"/>
                <w:sz w:val="28"/>
                <w:szCs w:val="28"/>
                <w:lang w:val="en-US"/>
              </w:rPr>
              <m:t>k</m:t>
            </m:r>
            <m:r>
              <w:rPr>
                <w:rFonts w:ascii="Cambria Math" w:eastAsia="Batang" w:hAnsi="Cambria Math" w:cs="Times New Roman"/>
                <w:color w:val="000000"/>
                <w:sz w:val="28"/>
                <w:szCs w:val="28"/>
              </w:rPr>
              <m:t>=1</m:t>
            </m:r>
          </m:sub>
          <m:sup>
            <m:r>
              <w:rPr>
                <w:rFonts w:ascii="Cambria Math" w:eastAsia="Batang" w:hAnsi="Cambria Math" w:cs="Times New Roman"/>
                <w:color w:val="000000"/>
                <w:sz w:val="28"/>
                <w:szCs w:val="28"/>
              </w:rPr>
              <m:t>n</m:t>
            </m:r>
          </m:sup>
          <m:e>
            <m:f>
              <m:fPr>
                <m:ctrlPr>
                  <w:rPr>
                    <w:rFonts w:ascii="Cambria Math" w:eastAsia="Batang" w:hAnsi="Cambria Math" w:cs="Times New Roman"/>
                    <w:i/>
                    <w:color w:val="000000"/>
                    <w:sz w:val="28"/>
                    <w:szCs w:val="28"/>
                  </w:rPr>
                </m:ctrlPr>
              </m:fPr>
              <m:num>
                <m:sSub>
                  <m:sSubPr>
                    <m:ctrlPr>
                      <w:rPr>
                        <w:rFonts w:ascii="Cambria Math" w:eastAsia="Batang" w:hAnsi="Cambria Math" w:cs="Times New Roman"/>
                        <w:i/>
                        <w:color w:val="000000"/>
                        <w:sz w:val="28"/>
                        <w:szCs w:val="28"/>
                      </w:rPr>
                    </m:ctrlPr>
                  </m:sSubPr>
                  <m:e>
                    <m:r>
                      <w:rPr>
                        <w:rFonts w:ascii="Cambria Math" w:eastAsia="Batang" w:hAnsi="Cambria Math" w:cs="Times New Roman"/>
                        <w:color w:val="000000"/>
                        <w:sz w:val="28"/>
                        <w:szCs w:val="28"/>
                        <w:lang w:val="en-US"/>
                      </w:rPr>
                      <m:t>CF</m:t>
                    </m:r>
                  </m:e>
                  <m:sub>
                    <m:r>
                      <w:rPr>
                        <w:rFonts w:ascii="Cambria Math" w:eastAsia="Batang" w:hAnsi="Cambria Math" w:cs="Times New Roman"/>
                        <w:color w:val="000000"/>
                        <w:sz w:val="28"/>
                        <w:szCs w:val="28"/>
                      </w:rPr>
                      <m:t>k</m:t>
                    </m:r>
                  </m:sub>
                </m:sSub>
              </m:num>
              <m:den>
                <m:sSup>
                  <m:sSupPr>
                    <m:ctrlPr>
                      <w:rPr>
                        <w:rFonts w:ascii="Cambria Math" w:eastAsia="Batang" w:hAnsi="Cambria Math" w:cs="Times New Roman"/>
                        <w:i/>
                        <w:color w:val="000000"/>
                        <w:sz w:val="28"/>
                        <w:szCs w:val="28"/>
                      </w:rPr>
                    </m:ctrlPr>
                  </m:sSupPr>
                  <m:e>
                    <m:r>
                      <w:rPr>
                        <w:rFonts w:ascii="Cambria Math" w:eastAsia="Batang" w:hAnsi="Cambria Math" w:cs="Times New Roman"/>
                        <w:color w:val="000000"/>
                        <w:sz w:val="28"/>
                        <w:szCs w:val="28"/>
                      </w:rPr>
                      <m:t>(1+Y)</m:t>
                    </m:r>
                  </m:e>
                  <m:sup>
                    <m:r>
                      <w:rPr>
                        <w:rFonts w:ascii="Cambria Math" w:eastAsia="Batang" w:hAnsi="Cambria Math" w:cs="Times New Roman"/>
                        <w:color w:val="000000"/>
                        <w:sz w:val="28"/>
                        <w:szCs w:val="28"/>
                      </w:rPr>
                      <m:t>(Dk-Дата)/365</m:t>
                    </m:r>
                  </m:sup>
                </m:sSup>
              </m:den>
            </m:f>
          </m:e>
        </m:nary>
        <m:r>
          <w:rPr>
            <w:rFonts w:ascii="Cambria Math" w:hAnsi="Cambria Math" w:cs="Times New Roman"/>
            <w:sz w:val="28"/>
            <w:szCs w:val="28"/>
          </w:rPr>
          <m:t>,                                     (1)</m:t>
        </m:r>
      </m:oMath>
      <w:r w:rsidR="00701DDB" w:rsidRPr="00E33760">
        <w:rPr>
          <w:rFonts w:ascii="Times New Roman" w:hAnsi="Times New Roman" w:cs="Times New Roman"/>
          <w:sz w:val="24"/>
          <w:szCs w:val="24"/>
        </w:rPr>
        <w:t>Где:</w:t>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ab/>
      </w:r>
      <w:r w:rsidRPr="00E33760">
        <w:rPr>
          <w:rFonts w:ascii="Times New Roman" w:hAnsi="Times New Roman" w:cs="Times New Roman"/>
          <w:sz w:val="24"/>
          <w:szCs w:val="24"/>
        </w:rPr>
        <w:tab/>
        <w:t>- сумма каждого денежного потока, определенная согласно п. 1.2.;</w:t>
      </w:r>
    </w:p>
    <w:p w:rsidR="00701DDB" w:rsidRPr="00E33760" w:rsidRDefault="006F2789" w:rsidP="00701DDB">
      <w:pPr>
        <w:spacing w:after="0" w:line="312" w:lineRule="auto"/>
        <w:ind w:left="2552" w:hanging="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дата каждого денежного потока, определенная согласно п .1.2.;</w:t>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lang w:val="en-US"/>
          </w:rPr>
          <m:t>Y</m:t>
        </m:r>
      </m:oMath>
      <w:r w:rsidRPr="00E33760">
        <w:rPr>
          <w:rFonts w:ascii="Times New Roman" w:hAnsi="Times New Roman" w:cs="Times New Roman"/>
          <w:sz w:val="24"/>
          <w:szCs w:val="24"/>
        </w:rPr>
        <w:tab/>
      </w:r>
      <w:r w:rsidRPr="00E33760">
        <w:rPr>
          <w:rFonts w:ascii="Times New Roman" w:hAnsi="Times New Roman" w:cs="Times New Roman"/>
          <w:sz w:val="24"/>
          <w:szCs w:val="24"/>
        </w:rPr>
        <w:tab/>
        <w:t>- ставка дисконтирования, определенная согласно п.1.3.;</w:t>
      </w:r>
    </w:p>
    <w:p w:rsidR="00701DDB" w:rsidRPr="00E33760" w:rsidRDefault="00701DDB" w:rsidP="00701DDB">
      <w:pPr>
        <w:spacing w:after="0" w:line="312" w:lineRule="auto"/>
        <w:ind w:left="2552" w:hanging="1134"/>
        <w:jc w:val="both"/>
        <w:rPr>
          <w:rFonts w:ascii="Times New Roman" w:hAnsi="Times New Roman" w:cs="Times New Roman"/>
          <w:sz w:val="24"/>
          <w:szCs w:val="24"/>
        </w:rPr>
      </w:pPr>
      <w:r w:rsidRPr="00E33760">
        <w:rPr>
          <w:rFonts w:ascii="Times New Roman" w:hAnsi="Times New Roman" w:cs="Times New Roman"/>
          <w:i/>
          <w:sz w:val="24"/>
          <w:szCs w:val="24"/>
        </w:rPr>
        <w:t>Дата</w:t>
      </w:r>
      <w:r w:rsidRPr="00E33760">
        <w:rPr>
          <w:rFonts w:ascii="Times New Roman" w:hAnsi="Times New Roman" w:cs="Times New Roman"/>
          <w:i/>
          <w:sz w:val="24"/>
          <w:szCs w:val="24"/>
        </w:rPr>
        <w:tab/>
      </w:r>
      <w:r w:rsidRPr="00E33760">
        <w:rPr>
          <w:rFonts w:ascii="Times New Roman" w:hAnsi="Times New Roman" w:cs="Times New Roman"/>
          <w:i/>
          <w:sz w:val="24"/>
          <w:szCs w:val="24"/>
        </w:rPr>
        <w:tab/>
      </w:r>
      <w:r w:rsidRPr="00E33760">
        <w:rPr>
          <w:rFonts w:ascii="Times New Roman" w:hAnsi="Times New Roman" w:cs="Times New Roman"/>
          <w:sz w:val="24"/>
          <w:szCs w:val="24"/>
        </w:rPr>
        <w:t>- дата определения справедливой стоимости.</w:t>
      </w:r>
    </w:p>
    <w:p w:rsidR="00701DDB" w:rsidRPr="00E33760" w:rsidRDefault="00701DDB" w:rsidP="00701DDB">
      <w:pPr>
        <w:spacing w:after="0" w:line="312" w:lineRule="auto"/>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При расчете используются следующие подходы к округлению:</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w:r w:rsidRPr="00E33760">
        <w:rPr>
          <w:rFonts w:ascii="Times New Roman" w:hAnsi="Times New Roman" w:cs="Times New Roman"/>
          <w:sz w:val="24"/>
          <w:szCs w:val="24"/>
        </w:rPr>
        <w:t>округления производятся по правилам математического округления;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 xml:space="preserve"> - будущий денежный поток, значение округляется до 2 знаков после запятой;</w:t>
      </w:r>
    </w:p>
    <w:p w:rsidR="00701DDB" w:rsidRPr="00E33760" w:rsidRDefault="006F2789"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E33760">
        <w:rPr>
          <w:rFonts w:ascii="Times New Roman" w:hAnsi="Times New Roman" w:cs="Times New Roman"/>
          <w:i/>
          <w:sz w:val="24"/>
          <w:szCs w:val="24"/>
        </w:rPr>
        <w:t xml:space="preserve"> – </w:t>
      </w:r>
      <w:r w:rsidRPr="00E33760">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701DDB" w:rsidRPr="00E33760" w:rsidRDefault="00701DDB" w:rsidP="00701DDB">
      <w:pPr>
        <w:pStyle w:val="ac"/>
        <w:spacing w:after="0" w:line="312" w:lineRule="auto"/>
        <w:ind w:left="1440"/>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contextualSpacing w:val="0"/>
        <w:jc w:val="both"/>
        <w:rPr>
          <w:rFonts w:ascii="Times New Roman" w:hAnsi="Times New Roman" w:cs="Times New Roman"/>
          <w:b/>
          <w:sz w:val="24"/>
          <w:szCs w:val="24"/>
        </w:rPr>
      </w:pPr>
      <w:r w:rsidRPr="00E33760">
        <w:rPr>
          <w:rFonts w:ascii="Times New Roman" w:hAnsi="Times New Roman" w:cs="Times New Roman"/>
          <w:b/>
          <w:sz w:val="24"/>
          <w:szCs w:val="24"/>
        </w:rPr>
        <w:t xml:space="preserve"> Формирование графика будущих денежных потоков</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Общие подходы.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701DDB" w:rsidRPr="00E33760" w:rsidRDefault="00701DDB" w:rsidP="00361203">
      <w:pPr>
        <w:pStyle w:val="ac"/>
        <w:numPr>
          <w:ilvl w:val="0"/>
          <w:numId w:val="53"/>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701DDB" w:rsidRPr="00E33760" w:rsidRDefault="00701DDB" w:rsidP="00361203">
      <w:pPr>
        <w:pStyle w:val="ac"/>
        <w:numPr>
          <w:ilvl w:val="0"/>
          <w:numId w:val="53"/>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даты полного погашения, предусмотренной условиями выпуска. </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lastRenderedPageBreak/>
        <w:t>Под датой денежного потока понимается:</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701DDB" w:rsidRPr="00E33760"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дата, до которой определен ожидаемый срок обращения.</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33760">
        <w:rPr>
          <w:rStyle w:val="af4"/>
          <w:rFonts w:ascii="Times New Roman" w:hAnsi="Times New Roman" w:cs="Times New Roman"/>
          <w:sz w:val="24"/>
          <w:szCs w:val="24"/>
        </w:rPr>
        <w:footnoteReference w:id="19"/>
      </w:r>
      <w:r w:rsidRPr="00E33760">
        <w:rPr>
          <w:rFonts w:ascii="Times New Roman" w:hAnsi="Times New Roman" w:cs="Times New Roman"/>
          <w:sz w:val="24"/>
          <w:szCs w:val="24"/>
        </w:rPr>
        <w:t>:</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DD0361" w:rsidRPr="00DD0361"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33760">
        <w:rPr>
          <w:rStyle w:val="af4"/>
          <w:rFonts w:ascii="Times New Roman" w:hAnsi="Times New Roman" w:cs="Times New Roman"/>
          <w:sz w:val="24"/>
          <w:szCs w:val="24"/>
        </w:rPr>
        <w:footnoteReference w:id="20"/>
      </w:r>
      <w:r w:rsidR="00DD0361">
        <w:rPr>
          <w:rFonts w:ascii="Times New Roman" w:hAnsi="Times New Roman" w:cs="Times New Roman"/>
          <w:sz w:val="24"/>
          <w:szCs w:val="24"/>
        </w:rPr>
        <w:t xml:space="preserve"> </w:t>
      </w:r>
      <w:r w:rsidR="00DD0361" w:rsidRPr="00DD0361">
        <w:rPr>
          <w:rFonts w:ascii="Times New Roman" w:hAnsi="Times New Roman" w:cs="Times New Roman"/>
          <w:sz w:val="24"/>
          <w:szCs w:val="24"/>
        </w:rPr>
        <w:t>(за исключением ценных бумаг с индексируемым номиналом);</w:t>
      </w:r>
    </w:p>
    <w:p w:rsidR="00701DDB" w:rsidRPr="00DD0361" w:rsidRDefault="00DD0361" w:rsidP="00DD0361">
      <w:pPr>
        <w:pStyle w:val="ac"/>
        <w:numPr>
          <w:ilvl w:val="0"/>
          <w:numId w:val="54"/>
        </w:numPr>
        <w:tabs>
          <w:tab w:val="left" w:pos="1134"/>
        </w:tabs>
        <w:spacing w:after="120" w:line="312" w:lineRule="auto"/>
        <w:ind w:left="709" w:firstLine="0"/>
        <w:jc w:val="both"/>
        <w:rPr>
          <w:szCs w:val="24"/>
        </w:rPr>
      </w:pPr>
      <w:r>
        <w:rPr>
          <w:rFonts w:ascii="Times New Roman" w:hAnsi="Times New Roman" w:cs="Times New Roman"/>
          <w:sz w:val="24"/>
          <w:szCs w:val="24"/>
        </w:rPr>
        <w:t xml:space="preserve"> </w:t>
      </w:r>
      <w:r w:rsidRPr="00DD0361">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Pr>
          <w:rFonts w:ascii="Times New Roman" w:hAnsi="Times New Roman" w:cs="Times New Roman"/>
          <w:sz w:val="24"/>
          <w:szCs w:val="24"/>
        </w:rPr>
        <w:t>.</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индексируемого номинала.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w:t>
      </w:r>
      <w:r w:rsidRPr="00E33760">
        <w:rPr>
          <w:rFonts w:ascii="Times New Roman" w:hAnsi="Times New Roman" w:cs="Times New Roman"/>
          <w:sz w:val="24"/>
          <w:szCs w:val="24"/>
        </w:rPr>
        <w:lastRenderedPageBreak/>
        <w:t>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701DDB" w:rsidRPr="00E33760" w:rsidRDefault="00701DDB" w:rsidP="00701DDB">
      <w:pPr>
        <w:spacing w:after="0" w:line="312" w:lineRule="auto"/>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E33760">
        <w:rPr>
          <w:rFonts w:ascii="Times New Roman" w:hAnsi="Times New Roman" w:cs="Times New Roman"/>
          <w:sz w:val="24"/>
          <w:szCs w:val="24"/>
        </w:rPr>
        <w:tab/>
        <w:t>- искомое значение номинала на дату каждого денежного потока;</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r w:rsidR="00DD0361">
        <w:rPr>
          <w:rFonts w:ascii="Times New Roman" w:hAnsi="Times New Roman" w:cs="Times New Roman"/>
          <w:sz w:val="24"/>
          <w:szCs w:val="24"/>
        </w:rPr>
        <w:t xml:space="preserve">. </w:t>
      </w:r>
      <w:r w:rsidR="00DD0361" w:rsidRPr="00335938">
        <w:rPr>
          <w:rFonts w:ascii="Times New Roman" w:hAnsi="Times New Roman" w:cs="Times New Roman"/>
          <w:sz w:val="24"/>
          <w:szCs w:val="24"/>
        </w:rPr>
        <w:t>Результат расчета не округляется</w:t>
      </w:r>
      <w:r w:rsidR="00DD0361">
        <w:rPr>
          <w:rFonts w:ascii="Times New Roman" w:hAnsi="Times New Roman" w:cs="Times New Roman"/>
          <w:sz w:val="24"/>
          <w:szCs w:val="24"/>
        </w:rPr>
        <w:t>;</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E33760">
        <w:rPr>
          <w:rFonts w:ascii="Times New Roman" w:hAnsi="Times New Roman" w:cs="Times New Roman"/>
          <w:sz w:val="24"/>
          <w:szCs w:val="24"/>
        </w:rPr>
        <w:tab/>
        <w:t>- величина номинала на дату определения справедливой стоимости;</w:t>
      </w:r>
    </w:p>
    <w:p w:rsidR="00701DDB"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E33760">
        <w:rPr>
          <w:rFonts w:ascii="Times New Roman" w:hAnsi="Times New Roman" w:cs="Times New Roman"/>
          <w:sz w:val="24"/>
          <w:szCs w:val="24"/>
          <w:lang w:val="en-US"/>
        </w:rPr>
        <w:t>n</w:t>
      </w:r>
      <w:r w:rsidRPr="00E33760">
        <w:rPr>
          <w:rFonts w:ascii="Times New Roman" w:hAnsi="Times New Roman" w:cs="Times New Roman"/>
          <w:sz w:val="24"/>
          <w:szCs w:val="24"/>
        </w:rPr>
        <w:t>-1).</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 xml:space="preserve">_n=ОКРУГЛ(НОМИНАЛ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_n×(1-</w:t>
      </w:r>
      <w:r w:rsidRPr="00335938">
        <w:rPr>
          <w:rFonts w:ascii="Times New Roman" w:hAnsi="Times New Roman" w:cs="Times New Roman" w:hint="eastAsia"/>
          <w:sz w:val="24"/>
          <w:szCs w:val="24"/>
        </w:rPr>
        <w:t>〖СУММ</w:t>
      </w:r>
      <w:r w:rsidRPr="00335938">
        <w:rPr>
          <w:rFonts w:ascii="Times New Roman" w:hAnsi="Times New Roman" w:cs="Times New Roman"/>
          <w:sz w:val="24"/>
          <w:szCs w:val="24"/>
        </w:rPr>
        <w:t xml:space="preserve">(ДОЛЯ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_(n-1)  ,2),(2а)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Где</w:t>
      </w:r>
      <w:r w:rsidRPr="00335938">
        <w:rPr>
          <w:rFonts w:ascii="Times New Roman" w:hAnsi="Times New Roman" w:cs="Times New Roman"/>
          <w:sz w:val="24"/>
          <w:szCs w:val="24"/>
        </w:rPr>
        <w:t>:</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w:t>
      </w:r>
      <w:r w:rsidRPr="00335938">
        <w:rPr>
          <w:rFonts w:ascii="Times New Roman" w:hAnsi="Times New Roman" w:cs="Times New Roman" w:hint="eastAsia"/>
          <w:sz w:val="24"/>
          <w:szCs w:val="24"/>
        </w:rPr>
        <w:t>ежного</w:t>
      </w:r>
      <w:r w:rsidRPr="00335938">
        <w:rPr>
          <w:rFonts w:ascii="Times New Roman" w:hAnsi="Times New Roman" w:cs="Times New Roman"/>
          <w:sz w:val="24"/>
          <w:szCs w:val="24"/>
        </w:rPr>
        <w:t xml:space="preserve">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w:t>
      </w:r>
      <w:r w:rsidRPr="00335938">
        <w:rPr>
          <w:rFonts w:ascii="Times New Roman" w:hAnsi="Times New Roman" w:cs="Times New Roman" w:hint="eastAsia"/>
          <w:sz w:val="24"/>
          <w:szCs w:val="24"/>
        </w:rPr>
        <w:t>а</w:t>
      </w:r>
      <w:r w:rsidRPr="00335938">
        <w:rPr>
          <w:rFonts w:ascii="Times New Roman" w:hAnsi="Times New Roman" w:cs="Times New Roman"/>
          <w:sz w:val="24"/>
          <w:szCs w:val="24"/>
        </w:rPr>
        <w:t>,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lastRenderedPageBreak/>
        <w:t>〖СУММ(ДОЛЯ АМОРТ)〗_(n-1)-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В</w:t>
      </w:r>
      <w:r w:rsidRPr="00335938">
        <w:rPr>
          <w:rFonts w:ascii="Times New Roman" w:hAnsi="Times New Roman" w:cs="Times New Roman"/>
          <w:sz w:val="24"/>
          <w:szCs w:val="24"/>
        </w:rPr>
        <w:t xml:space="preserve">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АМОРТ〗_n=max⁡(ОКРУГЛ(НОМИНАЛ ×〖ДОЛЯ АМОРТ〗_n  ,2); </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          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АМОРТ</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,2)),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〖СУММА АМОРТ〗_n- искомая величина частичного погашения номинала в дату соответствующего денежного потока;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w:t>
      </w:r>
      <w:r w:rsidRPr="00335938">
        <w:rPr>
          <w:rFonts w:ascii="Times New Roman" w:hAnsi="Times New Roman" w:cs="Times New Roman" w:hint="eastAsia"/>
          <w:sz w:val="24"/>
          <w:szCs w:val="24"/>
        </w:rPr>
        <w:t>чины</w:t>
      </w:r>
      <w:r w:rsidRPr="00335938">
        <w:rPr>
          <w:rFonts w:ascii="Times New Roman" w:hAnsi="Times New Roman" w:cs="Times New Roman"/>
          <w:sz w:val="24"/>
          <w:szCs w:val="24"/>
        </w:rPr>
        <w:t xml:space="preserve"> номинала,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D0361" w:rsidRPr="00E33760"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_n</w:t>
      </w:r>
      <w:r w:rsidRPr="00335938">
        <w:rPr>
          <w:rFonts w:ascii="Times New Roman" w:hAnsi="Times New Roman" w:cs="Times New Roman"/>
          <w:sz w:val="24"/>
          <w:szCs w:val="24"/>
        </w:rPr>
        <w:tab/>
        <w:t>- доля частичного погашения номинала в дату денежного потока n.</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переменной ставки купона.</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701DDB" w:rsidRPr="00E33760" w:rsidRDefault="00701DDB" w:rsidP="00361203">
      <w:pPr>
        <w:pStyle w:val="ac"/>
        <w:numPr>
          <w:ilvl w:val="0"/>
          <w:numId w:val="53"/>
        </w:numPr>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прочих ценных бумаг – исходя из ставки, заданной для наиболее позднего купонного периода.</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ставок выполняется отдельно для каждого купонного периода.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33760">
        <w:rPr>
          <w:rStyle w:val="af4"/>
          <w:rFonts w:ascii="Times New Roman" w:hAnsi="Times New Roman" w:cs="Times New Roman"/>
          <w:sz w:val="24"/>
          <w:szCs w:val="24"/>
        </w:rPr>
        <w:footnoteReference w:id="21"/>
      </w:r>
      <w:r w:rsidRPr="00E33760">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инфляции</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прогнозных значений инфляции (ПРОГНОЗ ИПЦ) используются значения: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«вмененной» инфляции (далее также – ВИПЦ, INF);</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701DDB" w:rsidRPr="00E33760" w:rsidRDefault="006F2789"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(4)</m:t>
          </m:r>
        </m:oMath>
      </m:oMathPara>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701DDB" w:rsidRPr="00E33760" w:rsidRDefault="006F2789" w:rsidP="00701DDB">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F2789"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(6)</m:t>
          </m:r>
        </m:oMath>
      </m:oMathPara>
    </w:p>
    <w:p w:rsidR="00701DDB" w:rsidRPr="00E33760" w:rsidRDefault="006F278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значение «вмененной» инфляции для выпуска ОФЗ 52001RMFS, рассчитанное по формуле (4) с точностью </w:t>
      </w:r>
      <w:r w:rsidR="00701DDB" w:rsidRPr="00E33760">
        <w:rPr>
          <w:rFonts w:ascii="Times New Roman" w:hAnsi="Times New Roman" w:cs="Times New Roman"/>
          <w:sz w:val="24"/>
          <w:szCs w:val="24"/>
        </w:rPr>
        <w:lastRenderedPageBreak/>
        <w:t>до 2 знаков после запятой – результат расчета по формуле (4) соответствует значению в процентах;</w:t>
      </w:r>
    </w:p>
    <w:p w:rsidR="00701DDB" w:rsidRPr="00E33760" w:rsidRDefault="006F278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m:t>
            </m:r>
            <m:r>
              <w:rPr>
                <w:rFonts w:ascii="Cambria Math" w:hAnsi="Cambria Math" w:cs="Times New Roman"/>
                <w:sz w:val="24"/>
                <w:szCs w:val="24"/>
              </w:rPr>
              <m:t>F</m:t>
            </m:r>
          </m:e>
          <m:sub>
            <m:r>
              <w:rPr>
                <w:rFonts w:ascii="Cambria Math" w:hAnsi="Cambria Math" w:cs="Times New Roman"/>
                <w:sz w:val="24"/>
                <w:szCs w:val="24"/>
              </w:rPr>
              <m:t>≤2028</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701DDB" w:rsidRPr="00E33760" w:rsidRDefault="006F278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701DDB" w:rsidRPr="00E33760" w:rsidRDefault="006F278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701DDB" w:rsidRDefault="006F278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DD0361" w:rsidRPr="00DD0361" w:rsidRDefault="006F2789" w:rsidP="00DD0361">
      <w:pPr>
        <w:spacing w:after="0" w:line="312" w:lineRule="auto"/>
        <w:ind w:left="142" w:hanging="1842"/>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(7)</m:t>
          </m:r>
        </m:oMath>
      </m:oMathPara>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hint="eastAsia"/>
          <w:sz w:val="24"/>
          <w:szCs w:val="24"/>
        </w:rPr>
        <w:t>Где</w:t>
      </w:r>
      <w:r w:rsidRPr="00DD0361">
        <w:rPr>
          <w:rFonts w:ascii="Times New Roman" w:hAnsi="Times New Roman" w:cs="Times New Roman"/>
          <w:sz w:val="24"/>
          <w:szCs w:val="24"/>
        </w:rPr>
        <w:t>:</w:t>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〖INF〗_(≤2030)=〖КБД〗_52003-〖YTM〗_52003,                                     (8)</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〖INF〗_(≤2028)</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t_52002, t_52003</w:t>
      </w:r>
      <w:r w:rsidRPr="00DD0361">
        <w:rPr>
          <w:rFonts w:ascii="Times New Roman" w:hAnsi="Times New Roman" w:cs="Times New Roman"/>
          <w:sz w:val="24"/>
          <w:szCs w:val="24"/>
        </w:rPr>
        <w:tab/>
      </w:r>
      <w:r w:rsidRPr="00DD0361">
        <w:rPr>
          <w:rFonts w:ascii="Times New Roman" w:hAnsi="Times New Roman" w:cs="Times New Roman"/>
          <w:sz w:val="24"/>
          <w:szCs w:val="24"/>
        </w:rPr>
        <w:tab/>
        <w:t xml:space="preserve">- значение средневзвешенного срока до погашения выпусков ОФЗ 52002RMFS, 52003RMFS, рассчитанное в </w:t>
      </w:r>
      <w:r w:rsidRPr="00DD0361">
        <w:rPr>
          <w:rFonts w:ascii="Times New Roman" w:hAnsi="Times New Roman" w:cs="Times New Roman"/>
          <w:sz w:val="24"/>
          <w:szCs w:val="24"/>
        </w:rPr>
        <w:lastRenderedPageBreak/>
        <w:t>годах с точностью до 4-х (четырех) знаков после запятой;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〖КБД〗_52002, 〖КБД〗_52003</w:t>
      </w:r>
      <w:r w:rsidRPr="00DD036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〖YTM〗_52002, 〖YTM〗_52003</w:t>
      </w:r>
      <w:r w:rsidRPr="00DD0361">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D0361" w:rsidRPr="00335938" w:rsidRDefault="00DD0361" w:rsidP="00701DDB">
      <w:pPr>
        <w:spacing w:after="0" w:line="312" w:lineRule="auto"/>
        <w:ind w:left="3969" w:hanging="2551"/>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12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E33760">
        <w:rPr>
          <w:rFonts w:ascii="Times New Roman" w:hAnsi="Times New Roman" w:cs="Times New Roman"/>
          <w:sz w:val="24"/>
          <w:szCs w:val="24"/>
        </w:rPr>
        <w:t xml:space="preserve"> </w:t>
      </w:r>
      <w:r w:rsidR="00DD0361" w:rsidRPr="004F31C8">
        <w:rPr>
          <w:szCs w:val="24"/>
        </w:rPr>
        <w:t>INF_(2029-2030)</w:t>
      </w:r>
      <w:r w:rsidRPr="00E33760">
        <w:rPr>
          <w:rFonts w:ascii="Times New Roman" w:hAnsi="Times New Roman" w:cs="Times New Roman"/>
          <w:sz w:val="24"/>
          <w:szCs w:val="24"/>
        </w:rPr>
        <w:t xml:space="preserve">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w:t>
      </w:r>
      <w:r w:rsidR="00DD0361">
        <w:rPr>
          <w:rFonts w:ascii="Times New Roman" w:hAnsi="Times New Roman" w:cs="Times New Roman"/>
          <w:sz w:val="24"/>
          <w:szCs w:val="24"/>
        </w:rPr>
        <w:t>8</w:t>
      </w:r>
      <w:r w:rsidRPr="00E33760">
        <w:rPr>
          <w:rFonts w:ascii="Times New Roman" w:hAnsi="Times New Roman" w:cs="Times New Roman"/>
          <w:sz w:val="24"/>
          <w:szCs w:val="24"/>
        </w:rPr>
        <w:t>)</w:t>
      </w:r>
      <w:r w:rsidR="00DD0361">
        <w:rPr>
          <w:rFonts w:ascii="Times New Roman" w:hAnsi="Times New Roman" w:cs="Times New Roman"/>
          <w:sz w:val="24"/>
          <w:szCs w:val="24"/>
        </w:rPr>
        <w:t>, (7)</w:t>
      </w:r>
      <w:r w:rsidRPr="00E33760">
        <w:rPr>
          <w:rFonts w:ascii="Times New Roman" w:hAnsi="Times New Roman" w:cs="Times New Roman"/>
          <w:sz w:val="24"/>
          <w:szCs w:val="24"/>
        </w:rPr>
        <w:t>). Результат расчета по формул</w:t>
      </w:r>
      <w:r w:rsidR="00DD0361">
        <w:rPr>
          <w:rFonts w:ascii="Times New Roman" w:hAnsi="Times New Roman" w:cs="Times New Roman"/>
          <w:sz w:val="24"/>
          <w:szCs w:val="24"/>
        </w:rPr>
        <w:t>ам</w:t>
      </w:r>
      <w:r w:rsidRPr="00E33760">
        <w:rPr>
          <w:rFonts w:ascii="Times New Roman" w:hAnsi="Times New Roman" w:cs="Times New Roman"/>
          <w:sz w:val="24"/>
          <w:szCs w:val="24"/>
        </w:rPr>
        <w:t xml:space="preserve"> (5)</w:t>
      </w:r>
      <w:r w:rsidR="00DD0361">
        <w:rPr>
          <w:rFonts w:ascii="Times New Roman" w:hAnsi="Times New Roman" w:cs="Times New Roman"/>
          <w:sz w:val="24"/>
          <w:szCs w:val="24"/>
        </w:rPr>
        <w:t>, (7)</w:t>
      </w:r>
      <w:r w:rsidRPr="00E33760">
        <w:rPr>
          <w:rFonts w:ascii="Times New Roman" w:hAnsi="Times New Roman" w:cs="Times New Roman"/>
          <w:sz w:val="24"/>
          <w:szCs w:val="24"/>
        </w:rPr>
        <w:t xml:space="preserve"> соответствует значению в процентах, округленному до 2 знаков после запятой.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с 20</w:t>
      </w:r>
      <w:r w:rsidR="00DD0361">
        <w:rPr>
          <w:rFonts w:ascii="Times New Roman" w:hAnsi="Times New Roman" w:cs="Times New Roman"/>
          <w:sz w:val="24"/>
          <w:szCs w:val="24"/>
        </w:rPr>
        <w:t>31</w:t>
      </w:r>
      <w:r w:rsidRPr="00E33760">
        <w:rPr>
          <w:rFonts w:ascii="Times New Roman" w:hAnsi="Times New Roman" w:cs="Times New Roman"/>
          <w:sz w:val="24"/>
          <w:szCs w:val="24"/>
        </w:rPr>
        <w:t xml:space="preserve"> г., в качестве прогноза инфляции используется экспертный прогноз инфляции.</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прочих переменных параметров</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RUONIA</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«overnight»,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Ключевая ставка Центрального банка Российской Федерации</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lastRenderedPageBreak/>
        <w:t>ставка КБД на срок до одного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6F2789"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(9)</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6F2789"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(10)</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6F2789" w:rsidP="00701DDB">
      <w:pPr>
        <w:spacing w:after="0" w:line="312" w:lineRule="auto"/>
        <w:ind w:left="1134" w:firstLine="708"/>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(11)</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«средней процентной маржи над стоимостью фондирования», рассчитанное по формуле (</w:t>
      </w:r>
      <w:r w:rsidR="00DD0361">
        <w:rPr>
          <w:rFonts w:ascii="Times New Roman" w:hAnsi="Times New Roman" w:cs="Times New Roman"/>
          <w:sz w:val="24"/>
          <w:szCs w:val="24"/>
        </w:rPr>
        <w:t>10</w:t>
      </w:r>
      <w:r w:rsidR="00701DDB" w:rsidRPr="00E33760">
        <w:rPr>
          <w:rFonts w:ascii="Times New Roman" w:hAnsi="Times New Roman" w:cs="Times New Roman"/>
          <w:sz w:val="24"/>
          <w:szCs w:val="24"/>
        </w:rPr>
        <w:t>) на дату оценки инструмента как среднее арифметическое значений показателя «процентной маржи над стоимостью фондирования», рассчитанных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по корзине выпусков ОФЗ-ПК;</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«процентной маржи над стоимостью фондирования», рассчитанное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для выпуска ОФЗ-ПК, входящего в корзину выпусков ОФЗ-ПК;</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 xml:space="preserve"> принимается равной 1.60%);</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P</m:t>
        </m:r>
      </m:oMath>
      <w:r w:rsidRPr="00E33760">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701DDB" w:rsidRPr="00E33760" w:rsidRDefault="00701DDB" w:rsidP="00701DDB">
      <w:pPr>
        <w:spacing w:after="0" w:line="312" w:lineRule="auto"/>
        <w:ind w:left="3533" w:hanging="2117"/>
        <w:jc w:val="both"/>
        <w:rPr>
          <w:rFonts w:ascii="Times New Roman" w:hAnsi="Times New Roman" w:cs="Times New Roman"/>
          <w:sz w:val="24"/>
          <w:szCs w:val="24"/>
        </w:rPr>
      </w:pPr>
      <m:oMath>
        <m:r>
          <w:rPr>
            <w:rFonts w:ascii="Cambria Math" w:hAnsi="Cambria Math" w:cs="Times New Roman"/>
            <w:sz w:val="24"/>
            <w:szCs w:val="24"/>
            <w:lang w:val="en-US"/>
          </w:rPr>
          <m:t>t</m:t>
        </m:r>
      </m:oMath>
      <w:r w:rsidRPr="00E33760">
        <w:rPr>
          <w:rFonts w:ascii="Times New Roman" w:hAnsi="Times New Roman" w:cs="Times New Roman"/>
          <w:sz w:val="24"/>
          <w:szCs w:val="24"/>
        </w:rPr>
        <w:tab/>
        <w:t>- средневзвешенный срок до погашения конкретного выпуска ОФЗ-ПК.</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включает следующие выпуски: 29006RMFS; 29007RMFS; 29008RMFS; 29009RMFS; 29010RMFS; 29012RMFS; 24020RMFS</w:t>
      </w:r>
      <w:r w:rsidR="00DD0361">
        <w:rPr>
          <w:rFonts w:ascii="Times New Roman" w:hAnsi="Times New Roman" w:cs="Times New Roman"/>
          <w:sz w:val="24"/>
          <w:szCs w:val="24"/>
        </w:rPr>
        <w:t xml:space="preserve">; </w:t>
      </w:r>
      <w:r w:rsidR="00DD0361" w:rsidRPr="008F434C">
        <w:rPr>
          <w:szCs w:val="24"/>
        </w:rPr>
        <w:t>29013RMFS; 29014RMFS; 29015RMFS; 29016RMFS; 29017RMFS; 29018RMFS; 29019RMFS; 24020RMFS; 24021RMFS.</w:t>
      </w:r>
    </w:p>
    <w:p w:rsidR="00701DDB" w:rsidRPr="00E33760" w:rsidRDefault="00701DDB" w:rsidP="00701DDB">
      <w:pPr>
        <w:spacing w:after="0" w:line="312" w:lineRule="auto"/>
        <w:ind w:left="567"/>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eastAsiaTheme="minorEastAsia" w:hAnsi="Times New Roman" w:cs="Times New Roman"/>
          <w:iCs/>
          <w:color w:val="000000" w:themeColor="text1"/>
          <w:sz w:val="24"/>
          <w:szCs w:val="24"/>
        </w:rPr>
      </w:pPr>
      <w:r w:rsidRPr="00E33760">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 пересматривается ПИФ в следующих случаях:</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 xml:space="preserve"> размещение новых выпусков ОФЗ-ПК;</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r w:rsidRPr="00E33760">
        <w:rPr>
          <w:rFonts w:ascii="Times New Roman" w:hAnsi="Times New Roman" w:cs="Times New Roman"/>
          <w:sz w:val="24"/>
          <w:szCs w:val="24"/>
        </w:rPr>
        <w:t xml:space="preserve"> и дата начала его применения устанавливаются ПИФ по согласованию со СД  и не требуют</w:t>
      </w:r>
      <w:r w:rsidR="00DD0361">
        <w:rPr>
          <w:rFonts w:ascii="Times New Roman" w:hAnsi="Times New Roman" w:cs="Times New Roman"/>
          <w:sz w:val="24"/>
          <w:szCs w:val="24"/>
        </w:rPr>
        <w:t xml:space="preserve"> оперативного</w:t>
      </w:r>
      <w:r w:rsidRPr="00E33760">
        <w:rPr>
          <w:rFonts w:ascii="Times New Roman" w:hAnsi="Times New Roman" w:cs="Times New Roman"/>
          <w:sz w:val="24"/>
          <w:szCs w:val="24"/>
        </w:rPr>
        <w:t xml:space="preserve"> внесения соответствующих изменений в настоящую Методику (утверждения новой редакции Методики).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9"/>
        <w:jc w:val="both"/>
        <w:rPr>
          <w:rFonts w:ascii="Times New Roman" w:hAnsi="Times New Roman" w:cs="Times New Roman"/>
          <w:strike/>
          <w:sz w:val="24"/>
          <w:szCs w:val="24"/>
          <w:highlight w:val="yellow"/>
        </w:rPr>
      </w:pPr>
      <w:r w:rsidRPr="00E33760">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709"/>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6F278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(10)</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701DDB" w:rsidRPr="00E33760">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701DDB" w:rsidRPr="00E33760" w:rsidRDefault="006F2789" w:rsidP="00701DDB">
      <w:pPr>
        <w:spacing w:after="0" w:line="312" w:lineRule="auto"/>
        <w:ind w:left="3533" w:hanging="211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701DDB" w:rsidRPr="00E33760">
        <w:rPr>
          <w:rFonts w:ascii="Times New Roman" w:hAnsi="Times New Roman" w:cs="Times New Roman"/>
          <w:sz w:val="24"/>
          <w:szCs w:val="24"/>
        </w:rPr>
        <w:tab/>
        <w:t>- значение Ставки КБД в точке, соответствующей сроку в 0.0027 года.</w:t>
      </w:r>
    </w:p>
    <w:p w:rsidR="00701DDB" w:rsidRPr="00E33760" w:rsidRDefault="00701DDB" w:rsidP="00701DDB">
      <w:pPr>
        <w:spacing w:after="0" w:line="312" w:lineRule="auto"/>
        <w:ind w:left="707" w:firstLine="709"/>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Default="00701DDB" w:rsidP="00701DDB">
      <w:pPr>
        <w:spacing w:after="0" w:line="312" w:lineRule="auto"/>
        <w:ind w:left="1416"/>
        <w:jc w:val="both"/>
        <w:rPr>
          <w:rFonts w:ascii="Times New Roman" w:hAnsi="Times New Roman" w:cs="Times New Roman"/>
          <w:sz w:val="24"/>
          <w:szCs w:val="24"/>
        </w:rPr>
      </w:pPr>
      <w:r w:rsidRPr="00E33760">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E33760">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w:t>
      </w:r>
      <w:r w:rsidR="00802464">
        <w:rPr>
          <w:rFonts w:ascii="Times New Roman" w:hAnsi="Times New Roman" w:cs="Times New Roman"/>
          <w:sz w:val="24"/>
          <w:szCs w:val="24"/>
        </w:rPr>
        <w:t xml:space="preserve"> следующем</w:t>
      </w:r>
      <w:r w:rsidRPr="00E33760">
        <w:rPr>
          <w:rFonts w:ascii="Times New Roman" w:hAnsi="Times New Roman" w:cs="Times New Roman"/>
          <w:sz w:val="24"/>
          <w:szCs w:val="24"/>
        </w:rPr>
        <w:t xml:space="preserve"> порядке, установленном п.2.</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Ставка КБД (значение кривой бескупонной доходности) может рассчитываться в точке, соответствующей:</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средневзвешенному сроку погашения / оферты по ценной бумаге ,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сроку погашения депозита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срочности процентной ставки в случаях, предусмотренных п.4 настоящей Методики,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дюрации биржевого индекса в случаях, предусмотренных Приложением В к настоящей Методике,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иному сроку в случаях, определенных настоящей Методикой.</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Примечание: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w:t>
      </w:r>
      <w:r w:rsidRPr="00802464">
        <w:rPr>
          <w:rFonts w:ascii="Times New Roman" w:hAnsi="Times New Roman" w:cs="Times New Roman"/>
          <w:sz w:val="24"/>
          <w:szCs w:val="24"/>
        </w:rPr>
        <w:lastRenderedPageBreak/>
        <w:t>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 месяц:</w:t>
      </w:r>
      <w:r w:rsidRPr="00802464">
        <w:rPr>
          <w:rFonts w:ascii="Times New Roman" w:hAnsi="Times New Roman" w:cs="Times New Roman"/>
          <w:sz w:val="24"/>
          <w:szCs w:val="24"/>
        </w:rPr>
        <w:tab/>
        <w:t>0.0833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2 месяца:</w:t>
      </w:r>
      <w:r w:rsidRPr="00802464">
        <w:rPr>
          <w:rFonts w:ascii="Times New Roman" w:hAnsi="Times New Roman" w:cs="Times New Roman"/>
          <w:sz w:val="24"/>
          <w:szCs w:val="24"/>
        </w:rPr>
        <w:tab/>
        <w:t>0.1667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3 месяца:</w:t>
      </w:r>
      <w:r w:rsidRPr="00802464">
        <w:rPr>
          <w:rFonts w:ascii="Times New Roman" w:hAnsi="Times New Roman" w:cs="Times New Roman"/>
          <w:sz w:val="24"/>
          <w:szCs w:val="24"/>
        </w:rPr>
        <w:tab/>
        <w:t>0.2500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4 месяца:</w:t>
      </w:r>
      <w:r w:rsidRPr="00802464">
        <w:rPr>
          <w:rFonts w:ascii="Times New Roman" w:hAnsi="Times New Roman" w:cs="Times New Roman"/>
          <w:sz w:val="24"/>
          <w:szCs w:val="24"/>
        </w:rPr>
        <w:tab/>
        <w:t>0.3333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5 месяцев:</w:t>
      </w:r>
      <w:r w:rsidRPr="00802464">
        <w:rPr>
          <w:rFonts w:ascii="Times New Roman" w:hAnsi="Times New Roman" w:cs="Times New Roman"/>
          <w:sz w:val="24"/>
          <w:szCs w:val="24"/>
        </w:rPr>
        <w:tab/>
        <w:t>0.4167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6 месяцев:</w:t>
      </w:r>
      <w:r w:rsidRPr="00802464">
        <w:rPr>
          <w:rFonts w:ascii="Times New Roman" w:hAnsi="Times New Roman" w:cs="Times New Roman"/>
          <w:sz w:val="24"/>
          <w:szCs w:val="24"/>
        </w:rPr>
        <w:tab/>
        <w:t>0.5000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7 месяцев:</w:t>
      </w:r>
      <w:r w:rsidRPr="00802464">
        <w:rPr>
          <w:rFonts w:ascii="Times New Roman" w:hAnsi="Times New Roman" w:cs="Times New Roman"/>
          <w:sz w:val="24"/>
          <w:szCs w:val="24"/>
        </w:rPr>
        <w:tab/>
        <w:t>0.5833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8 месяцев:</w:t>
      </w:r>
      <w:r w:rsidRPr="00802464">
        <w:rPr>
          <w:rFonts w:ascii="Times New Roman" w:hAnsi="Times New Roman" w:cs="Times New Roman"/>
          <w:sz w:val="24"/>
          <w:szCs w:val="24"/>
        </w:rPr>
        <w:tab/>
        <w:t>0.6667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9 месяцев:</w:t>
      </w:r>
      <w:r w:rsidRPr="00802464">
        <w:rPr>
          <w:rFonts w:ascii="Times New Roman" w:hAnsi="Times New Roman" w:cs="Times New Roman"/>
          <w:sz w:val="24"/>
          <w:szCs w:val="24"/>
        </w:rPr>
        <w:tab/>
        <w:t>0.7500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10 месяцев:</w:t>
      </w:r>
      <w:r w:rsidRPr="00802464">
        <w:rPr>
          <w:rFonts w:ascii="Times New Roman" w:hAnsi="Times New Roman" w:cs="Times New Roman"/>
          <w:sz w:val="24"/>
          <w:szCs w:val="24"/>
        </w:rPr>
        <w:tab/>
        <w:t>0.8333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11 месяцев:</w:t>
      </w:r>
      <w:r w:rsidRPr="00802464">
        <w:rPr>
          <w:rFonts w:ascii="Times New Roman" w:hAnsi="Times New Roman" w:cs="Times New Roman"/>
          <w:sz w:val="24"/>
          <w:szCs w:val="24"/>
        </w:rPr>
        <w:tab/>
        <w:t>0.9167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12 месяцев:</w:t>
      </w:r>
      <w:r w:rsidRPr="00802464">
        <w:rPr>
          <w:rFonts w:ascii="Times New Roman" w:hAnsi="Times New Roman" w:cs="Times New Roman"/>
          <w:sz w:val="24"/>
          <w:szCs w:val="24"/>
        </w:rPr>
        <w:tab/>
        <w:t>1.0000 год.</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В расчете используются:</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 xml:space="preserve">Методика расчёта кривой бескупонной доходности государственных облигаций, определенная Московской биржей ;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динамические параметры G-кривой по состоянию на каждый торговый день.</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Источник информации: официальный сайт Московской биржи.</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Примечание:</w:t>
      </w:r>
    </w:p>
    <w:p w:rsid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35938" w:rsidRPr="00802464" w:rsidRDefault="00335938" w:rsidP="00802464">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свыше 2 лет;</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доходность к погашению выпуска ОФЗ.</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lastRenderedPageBreak/>
        <w:t xml:space="preserve">Примечание: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567"/>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прочих переменных параметров (помимо ставок денежного рынка).</w:t>
      </w:r>
    </w:p>
    <w:p w:rsidR="00701DDB" w:rsidRPr="00E33760" w:rsidRDefault="00701DDB" w:rsidP="00701DDB">
      <w:pPr>
        <w:spacing w:after="0" w:line="312" w:lineRule="auto"/>
        <w:ind w:firstLine="567"/>
        <w:jc w:val="both"/>
        <w:rPr>
          <w:rFonts w:ascii="Times New Roman" w:hAnsi="Times New Roman" w:cs="Times New Roman"/>
          <w:sz w:val="24"/>
          <w:szCs w:val="24"/>
        </w:rPr>
      </w:pPr>
      <w:r w:rsidRPr="00E33760">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E33760" w:rsidDel="00E64FB6">
        <w:rPr>
          <w:rFonts w:ascii="Times New Roman" w:hAnsi="Times New Roman" w:cs="Times New Roman"/>
          <w:sz w:val="24"/>
          <w:szCs w:val="24"/>
        </w:rPr>
        <w:t xml:space="preserve"> </w:t>
      </w:r>
    </w:p>
    <w:p w:rsidR="00701DDB" w:rsidRPr="00E33760" w:rsidRDefault="00701DDB" w:rsidP="00701DDB">
      <w:pPr>
        <w:spacing w:after="0" w:line="312" w:lineRule="auto"/>
        <w:ind w:firstLine="567"/>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Определение ставки дисконтирования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701DDB" w:rsidRPr="00E33760" w:rsidRDefault="00701DDB" w:rsidP="00701DDB">
      <w:pPr>
        <w:spacing w:after="0" w:line="312" w:lineRule="auto"/>
        <w:ind w:firstLine="360"/>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701DDB" w:rsidRPr="00E33760" w:rsidRDefault="00701DDB" w:rsidP="00361203">
      <w:pPr>
        <w:pStyle w:val="ac"/>
        <w:numPr>
          <w:ilvl w:val="0"/>
          <w:numId w:val="55"/>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 расчете ставки дисконтирования могут быть использованы:</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экспертное значение кредитного спреда</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701DDB" w:rsidRPr="00E33760" w:rsidRDefault="00701DDB" w:rsidP="00701DDB">
      <w:pPr>
        <w:spacing w:after="0" w:line="312" w:lineRule="auto"/>
        <w:ind w:left="708" w:firstLine="372"/>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jc w:val="center"/>
        <w:rPr>
          <w:rFonts w:ascii="Times New Roman" w:hAnsi="Times New Roman" w:cs="Times New Roman"/>
          <w:sz w:val="24"/>
          <w:szCs w:val="24"/>
        </w:rPr>
      </w:pPr>
      <w:bookmarkStart w:id="11" w:name="_Toc27398199"/>
      <w:r w:rsidRPr="00E33760">
        <w:rPr>
          <w:rFonts w:ascii="Times New Roman" w:hAnsi="Times New Roman" w:cs="Times New Roman"/>
          <w:b/>
          <w:sz w:val="24"/>
          <w:szCs w:val="24"/>
        </w:rPr>
        <w:t>ПРИЛОЖЕНИЕ №В.</w:t>
      </w:r>
      <w:bookmarkEnd w:id="11"/>
    </w:p>
    <w:p w:rsidR="00701DDB" w:rsidRPr="00E33760" w:rsidRDefault="00701DDB" w:rsidP="00701DDB">
      <w:pPr>
        <w:jc w:val="center"/>
        <w:rPr>
          <w:rFonts w:ascii="Times New Roman" w:hAnsi="Times New Roman" w:cs="Times New Roman"/>
          <w:b/>
          <w:sz w:val="24"/>
          <w:szCs w:val="24"/>
        </w:rPr>
      </w:pPr>
      <w:r w:rsidRPr="00E33760">
        <w:rPr>
          <w:rFonts w:ascii="Times New Roman" w:hAnsi="Times New Roman" w:cs="Times New Roman"/>
          <w:b/>
          <w:sz w:val="24"/>
          <w:szCs w:val="24"/>
        </w:rPr>
        <w:t>РЕГЛАМЕНТ РАСЧЕТА КРЕДИТНОГО СПРЕДА ДЛЯ ДОЛГОВЫХ ИНСТРУМЕНТОВ</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зависимости от наличия или отсутствия кредитного рейтинга у выпуска</w:t>
      </w:r>
      <w:r w:rsidRPr="00E33760">
        <w:rPr>
          <w:rStyle w:val="af4"/>
          <w:rFonts w:ascii="Times New Roman" w:hAnsi="Times New Roman" w:cs="Times New Roman"/>
          <w:sz w:val="24"/>
          <w:szCs w:val="24"/>
        </w:rPr>
        <w:footnoteReference w:id="22"/>
      </w:r>
      <w:r w:rsidRPr="00E33760">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701DDB" w:rsidRPr="00E33760" w:rsidRDefault="00701DDB" w:rsidP="00361203">
      <w:pPr>
        <w:pStyle w:val="ac"/>
        <w:numPr>
          <w:ilvl w:val="0"/>
          <w:numId w:val="49"/>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Рейтинговые группы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целей определения кредитного спреда вводятся следующие рейтинговые группы:</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lastRenderedPageBreak/>
        <w:t>Рейтинговая группа I</w:t>
      </w:r>
      <w:r w:rsidRPr="00E33760">
        <w:rPr>
          <w:rFonts w:ascii="Times New Roman" w:hAnsi="Times New Roman" w:cs="Times New Roman"/>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II</w:t>
      </w:r>
      <w:r w:rsidRPr="00E33760">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 xml:space="preserve">Рейтинговая группа </w:t>
      </w:r>
      <w:r w:rsidRPr="00E33760">
        <w:rPr>
          <w:rFonts w:ascii="Times New Roman" w:hAnsi="Times New Roman" w:cs="Times New Roman"/>
          <w:b/>
          <w:sz w:val="24"/>
          <w:szCs w:val="24"/>
          <w:lang w:val="en-US"/>
        </w:rPr>
        <w:t>III</w:t>
      </w:r>
      <w:r w:rsidRPr="00E33760">
        <w:rPr>
          <w:rFonts w:ascii="Times New Roman" w:hAnsi="Times New Roman" w:cs="Times New Roman"/>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до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(по шкале </w:t>
      </w:r>
      <w:r w:rsidRPr="00E33760">
        <w:rPr>
          <w:rFonts w:ascii="Times New Roman" w:hAnsi="Times New Roman" w:cs="Times New Roman"/>
          <w:sz w:val="24"/>
          <w:szCs w:val="24"/>
          <w:lang w:val="en-US"/>
        </w:rPr>
        <w:t>S</w:t>
      </w:r>
      <w:r w:rsidRPr="00E33760">
        <w:rPr>
          <w:rFonts w:ascii="Times New Roman" w:hAnsi="Times New Roman" w:cs="Times New Roman"/>
          <w:sz w:val="24"/>
          <w:szCs w:val="24"/>
        </w:rPr>
        <w:t>&amp;</w:t>
      </w:r>
      <w:r w:rsidRPr="00E33760">
        <w:rPr>
          <w:rFonts w:ascii="Times New Roman" w:hAnsi="Times New Roman" w:cs="Times New Roman"/>
          <w:sz w:val="24"/>
          <w:szCs w:val="24"/>
          <w:lang w:val="en-US"/>
        </w:rPr>
        <w:t>P</w:t>
      </w:r>
      <w:r w:rsidRPr="00E33760">
        <w:rPr>
          <w:rFonts w:ascii="Times New Roman" w:hAnsi="Times New Roman" w:cs="Times New Roman"/>
          <w:sz w:val="24"/>
          <w:szCs w:val="24"/>
        </w:rPr>
        <w:t>).</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b/>
          <w:sz w:val="24"/>
          <w:szCs w:val="24"/>
          <w:lang w:val="en-US"/>
        </w:rPr>
        <w:t>V</w:t>
      </w:r>
      <w:r w:rsidRPr="00E33760">
        <w:rPr>
          <w:rFonts w:ascii="Times New Roman" w:hAnsi="Times New Roman" w:cs="Times New Roman"/>
          <w:b/>
          <w:sz w:val="24"/>
          <w:szCs w:val="24"/>
        </w:rPr>
        <w:t>.</w:t>
      </w:r>
      <w:r w:rsidRPr="00E33760">
        <w:rPr>
          <w:rFonts w:ascii="Times New Roman" w:hAnsi="Times New Roman" w:cs="Times New Roman"/>
          <w:sz w:val="24"/>
          <w:szCs w:val="24"/>
        </w:rPr>
        <w:t xml:space="preserve"> В указанную рейтинговую группу включаются долговые инструменты:</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без рейтинга, присвоенного рейтинговыми агентствами, указанными в Таблице 1, или</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внесение изменений в методику расчета и состав индексов Московской биржи;</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изменение суверенного рейтинга РФ агентствами S&amp;P, Moody’s, Fitch;</w:t>
      </w:r>
    </w:p>
    <w:p w:rsidR="00701DDB" w:rsidRPr="00E33760" w:rsidRDefault="00701DDB" w:rsidP="00361203">
      <w:pPr>
        <w:numPr>
          <w:ilvl w:val="0"/>
          <w:numId w:val="58"/>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Проверка условий для пересмотра рейтинговых групп проводится ежеквартально.</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принадлежности долгового инструмента к рейтинговой группе</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701DDB" w:rsidRPr="00E33760" w:rsidRDefault="00701DDB" w:rsidP="00701DDB">
      <w:pPr>
        <w:spacing w:after="0" w:line="312" w:lineRule="auto"/>
        <w:contextualSpacing/>
        <w:jc w:val="both"/>
        <w:rPr>
          <w:rFonts w:ascii="Times New Roman" w:hAnsi="Times New Roman" w:cs="Times New Roman"/>
          <w:b/>
          <w:sz w:val="24"/>
          <w:szCs w:val="24"/>
        </w:rPr>
      </w:pPr>
    </w:p>
    <w:p w:rsidR="00701DDB" w:rsidRPr="00E33760" w:rsidRDefault="00701DDB" w:rsidP="00701DDB">
      <w:pPr>
        <w:spacing w:after="0" w:line="312" w:lineRule="auto"/>
        <w:jc w:val="both"/>
        <w:rPr>
          <w:rFonts w:ascii="Times New Roman" w:hAnsi="Times New Roman" w:cs="Times New Roman"/>
          <w:b/>
          <w:bCs/>
          <w:sz w:val="24"/>
          <w:szCs w:val="24"/>
        </w:rPr>
      </w:pPr>
      <w:r w:rsidRPr="00E33760">
        <w:rPr>
          <w:rFonts w:ascii="Times New Roman" w:hAnsi="Times New Roman" w:cs="Times New Roman"/>
          <w:b/>
          <w:sz w:val="24"/>
          <w:szCs w:val="24"/>
        </w:rPr>
        <w:t xml:space="preserve">Таблица 1. </w:t>
      </w:r>
      <w:r w:rsidRPr="00E33760">
        <w:rPr>
          <w:rFonts w:ascii="Times New Roman" w:hAnsi="Times New Roman" w:cs="Times New Roman"/>
          <w:b/>
          <w:bCs/>
          <w:sz w:val="24"/>
          <w:szCs w:val="24"/>
        </w:rPr>
        <w:t>Сопоставление шкал рейтинговых агентств</w:t>
      </w:r>
    </w:p>
    <w:tbl>
      <w:tblPr>
        <w:tblW w:w="5000" w:type="pct"/>
        <w:jc w:val="center"/>
        <w:tblLayout w:type="fixed"/>
        <w:tblLook w:val="04A0" w:firstRow="1" w:lastRow="0" w:firstColumn="1" w:lastColumn="0" w:noHBand="0" w:noVBand="1"/>
      </w:tblPr>
      <w:tblGrid>
        <w:gridCol w:w="1453"/>
        <w:gridCol w:w="1189"/>
        <w:gridCol w:w="1935"/>
        <w:gridCol w:w="1935"/>
        <w:gridCol w:w="1933"/>
        <w:gridCol w:w="1601"/>
      </w:tblGrid>
      <w:tr w:rsidR="00701DDB" w:rsidRPr="00E33760" w:rsidTr="00B764D2">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w:t>
            </w:r>
          </w:p>
        </w:tc>
      </w:tr>
      <w:tr w:rsidR="00701DDB" w:rsidRPr="00E33760" w:rsidTr="00B764D2">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lastRenderedPageBreak/>
              <w:t>AAA(RU)</w:t>
            </w:r>
          </w:p>
        </w:tc>
        <w:tc>
          <w:tcPr>
            <w:tcW w:w="592" w:type="pct"/>
            <w:vMerge w:val="restart"/>
            <w:tcBorders>
              <w:top w:val="nil"/>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p>
        </w:tc>
      </w:tr>
      <w:tr w:rsidR="00701DDB" w:rsidRPr="00E33760" w:rsidTr="00B764D2">
        <w:trPr>
          <w:trHeight w:val="345"/>
          <w:jc w:val="center"/>
        </w:trPr>
        <w:tc>
          <w:tcPr>
            <w:tcW w:w="723" w:type="pct"/>
            <w:vMerge/>
            <w:tcBorders>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 AA(RU),</w:t>
            </w:r>
          </w:p>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lang w:val="en-US"/>
              </w:rPr>
            </w:pPr>
            <w:r w:rsidRPr="00E33760">
              <w:rPr>
                <w:rFonts w:ascii="Times New Roman" w:hAnsi="Times New Roman" w:cs="Times New Roman"/>
                <w:b/>
                <w:bCs/>
                <w:color w:val="000000"/>
                <w:sz w:val="24"/>
                <w:szCs w:val="24"/>
              </w:rPr>
              <w:t>Рейтинговая группа II</w:t>
            </w:r>
            <w:r w:rsidRPr="00E33760">
              <w:rPr>
                <w:rFonts w:ascii="Times New Roman" w:hAnsi="Times New Roman" w:cs="Times New Roman"/>
                <w:b/>
                <w:bCs/>
                <w:color w:val="000000"/>
                <w:sz w:val="24"/>
                <w:szCs w:val="24"/>
                <w:lang w:val="en-US"/>
              </w:rPr>
              <w:t>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r w:rsidRPr="00E33760">
              <w:rPr>
                <w:rFonts w:ascii="Times New Roman" w:hAnsi="Times New Roman" w:cs="Times New Roman"/>
                <w:b/>
                <w:bCs/>
                <w:color w:val="000000"/>
                <w:sz w:val="24"/>
                <w:szCs w:val="24"/>
                <w:lang w:val="en-US"/>
              </w:rPr>
              <w:t>V</w:t>
            </w:r>
          </w:p>
        </w:tc>
      </w:tr>
    </w:tbl>
    <w:p w:rsidR="00701DDB" w:rsidRPr="00E33760" w:rsidRDefault="00701DDB" w:rsidP="00701DDB">
      <w:pPr>
        <w:spacing w:after="0" w:line="312" w:lineRule="auto"/>
        <w:ind w:left="-1276"/>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 II, III рейтинговых групп</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Кредитный спред для рейтинговых групп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рейтинг ≥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BB- ≤ рейтинг &lt;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Индекс корпоративных облигаций (&gt; 1 года, B- ≤ рейтинг &lt; BB-) </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https://www.moex.com/ru/index/RUCBITRB/archive/</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медианного кредитного спреда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рейтинговых групп осуществляется в следующем порядке:</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6F278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e>
          </m:d>
          <m:r>
            <w:rPr>
              <w:rFonts w:ascii="Cambria Math" w:hAnsi="Cambria Math" w:cs="Times New Roman"/>
              <w:sz w:val="24"/>
              <w:szCs w:val="24"/>
              <w:lang w:val="en-US"/>
            </w:rPr>
            <m:t>×100</m:t>
          </m:r>
          <m:r>
            <w:rPr>
              <w:rFonts w:ascii="Cambria Math" w:hAnsi="Cambria Math" w:cs="Times New Roman"/>
              <w:sz w:val="24"/>
              <w:szCs w:val="24"/>
            </w:rPr>
            <m:t>,                                     (13)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RUCBITRBBB, раскрытая Московской биржей;</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lastRenderedPageBreak/>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w:t>
      </w:r>
    </w:p>
    <w:p w:rsidR="00701DDB" w:rsidRPr="00E33760" w:rsidRDefault="00701DDB" w:rsidP="00701DDB">
      <w:pPr>
        <w:spacing w:after="0" w:line="312" w:lineRule="auto"/>
        <w:ind w:firstLine="708"/>
        <w:contextualSpacing/>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6F278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w:rPr>
              <w:rFonts w:ascii="Cambria Math" w:hAnsi="Cambria Math" w:cs="Times New Roman"/>
              <w:sz w:val="24"/>
              <w:szCs w:val="24"/>
              <w:lang w:val="en-US"/>
            </w:rPr>
            <m:t>×100</m:t>
          </m:r>
          <m:r>
            <w:rPr>
              <w:rFonts w:ascii="Cambria Math" w:hAnsi="Cambria Math" w:cs="Times New Roman"/>
              <w:sz w:val="24"/>
              <w:szCs w:val="24"/>
            </w:rPr>
            <m:t>,                                     (14)</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 раскрытая Московской биржей;</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w:t>
      </w:r>
      <w:r w:rsidRPr="00E33760">
        <w:rPr>
          <w:rFonts w:ascii="Times New Roman" w:hAnsi="Times New Roman" w:cs="Times New Roman"/>
          <w:b/>
          <w:sz w:val="24"/>
          <w:szCs w:val="24"/>
        </w:rPr>
        <w:t xml:space="preserve">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jc w:val="both"/>
        <w:rPr>
          <w:rFonts w:ascii="Times New Roman" w:hAnsi="Times New Roman" w:cs="Times New Roman"/>
          <w:b/>
          <w:sz w:val="24"/>
          <w:szCs w:val="24"/>
          <w:u w:val="single"/>
        </w:rPr>
      </w:pPr>
    </w:p>
    <w:p w:rsidR="00701DDB" w:rsidRPr="00E33760" w:rsidRDefault="00701DDB" w:rsidP="00701DDB">
      <w:pPr>
        <w:spacing w:after="0" w:line="312" w:lineRule="auto"/>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III</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РГШ</w:t>
      </w:r>
      <w:r w:rsidRPr="00E33760">
        <w:rPr>
          <w:rFonts w:ascii="Times New Roman" w:hAnsi="Times New Roman" w:cs="Times New Roman"/>
          <w:sz w:val="24"/>
          <w:szCs w:val="24"/>
        </w:rPr>
        <w:t xml:space="preserve"> за каждый из 20 последних торговых дней:</w:t>
      </w:r>
    </w:p>
    <w:p w:rsidR="00701DDB" w:rsidRPr="00E33760" w:rsidRDefault="006F278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w:rPr>
              <w:rFonts w:ascii="Cambria Math" w:hAnsi="Cambria Math" w:cs="Times New Roman"/>
              <w:sz w:val="24"/>
              <w:szCs w:val="24"/>
              <w:lang w:val="en-US"/>
            </w:rPr>
            <m:t>×100</m:t>
          </m:r>
          <m:r>
            <w:rPr>
              <w:rFonts w:ascii="Cambria Math" w:hAnsi="Cambria Math" w:cs="Times New Roman"/>
              <w:sz w:val="24"/>
              <w:szCs w:val="24"/>
            </w:rPr>
            <m:t>,                                     (15)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 раскрытая Московской биржей;</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 раскрытой Московской биржей.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Рассчитывается медианное значение кредитного спреда</w:t>
      </w:r>
      <w:r w:rsidRPr="00E33760">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tabs>
          <w:tab w:val="left" w:pos="567"/>
        </w:tabs>
        <w:spacing w:after="0" w:line="312" w:lineRule="auto"/>
        <w:jc w:val="both"/>
        <w:rPr>
          <w:rFonts w:ascii="Times New Roman" w:hAnsi="Times New Roman" w:cs="Times New Roman"/>
          <w:b/>
          <w:sz w:val="24"/>
          <w:szCs w:val="24"/>
          <w:u w:val="single"/>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IV рейтинговой группы</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w:t>
      </w:r>
      <w:r w:rsidRPr="00E33760">
        <w:rPr>
          <w:rFonts w:ascii="Times New Roman" w:hAnsi="Times New Roman" w:cs="Times New Roman"/>
          <w:sz w:val="24"/>
          <w:szCs w:val="24"/>
        </w:rPr>
        <w:lastRenderedPageBreak/>
        <w:t xml:space="preserve">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701DDB" w:rsidRPr="00E33760" w:rsidRDefault="00701DDB" w:rsidP="00361203">
      <w:pPr>
        <w:numPr>
          <w:ilvl w:val="0"/>
          <w:numId w:val="50"/>
        </w:numPr>
        <w:tabs>
          <w:tab w:val="left" w:pos="1134"/>
        </w:tabs>
        <w:spacing w:after="0" w:line="312" w:lineRule="auto"/>
        <w:ind w:left="567" w:firstLine="0"/>
        <w:jc w:val="both"/>
        <w:rPr>
          <w:rFonts w:ascii="Times New Roman" w:hAnsi="Times New Roman" w:cs="Times New Roman"/>
          <w:sz w:val="24"/>
          <w:szCs w:val="24"/>
        </w:rPr>
      </w:pPr>
      <w:r w:rsidRPr="00E33760">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567"/>
        <w:jc w:val="both"/>
        <w:rPr>
          <w:rFonts w:ascii="Times New Roman" w:hAnsi="Times New Roman" w:cs="Times New Roman"/>
          <w:sz w:val="24"/>
          <w:szCs w:val="24"/>
        </w:rPr>
      </w:pPr>
    </w:p>
    <w:p w:rsidR="00701DDB" w:rsidRPr="00E33760" w:rsidRDefault="006F2789"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(16)</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E33760">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701DDB" w:rsidRPr="00E33760" w:rsidRDefault="00701DDB" w:rsidP="00361203">
      <w:pPr>
        <w:numPr>
          <w:ilvl w:val="0"/>
          <w:numId w:val="50"/>
        </w:numPr>
        <w:tabs>
          <w:tab w:val="left" w:pos="1134"/>
        </w:tabs>
        <w:spacing w:after="0" w:line="312" w:lineRule="auto"/>
        <w:ind w:left="1134" w:hanging="567"/>
        <w:jc w:val="both"/>
        <w:rPr>
          <w:rFonts w:ascii="Times New Roman" w:hAnsi="Times New Roman" w:cs="Times New Roman"/>
          <w:sz w:val="24"/>
          <w:szCs w:val="24"/>
        </w:rPr>
      </w:pPr>
      <w:r w:rsidRPr="00E33760">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1134"/>
        <w:jc w:val="both"/>
        <w:rPr>
          <w:rFonts w:ascii="Times New Roman" w:hAnsi="Times New Roman" w:cs="Times New Roman"/>
          <w:sz w:val="24"/>
          <w:szCs w:val="24"/>
        </w:rPr>
      </w:pPr>
      <w:r w:rsidRPr="00E33760">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701DDB" w:rsidRPr="00E33760" w:rsidRDefault="006F2789"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(17)</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6F278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j</m:t>
        </m:r>
      </m:oMath>
      <w:r w:rsidRPr="00E33760">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701DDB" w:rsidRPr="00E33760" w:rsidRDefault="00701DDB" w:rsidP="00361203">
      <w:pPr>
        <w:pStyle w:val="ac"/>
        <w:numPr>
          <w:ilvl w:val="0"/>
          <w:numId w:val="50"/>
        </w:numPr>
        <w:tabs>
          <w:tab w:val="left" w:pos="1134"/>
        </w:tabs>
        <w:spacing w:after="0" w:line="312" w:lineRule="auto"/>
        <w:ind w:left="1134" w:hanging="567"/>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При отсутствии рейтинга выпуска долговой ценной бумаги, эмитента / поручителя этого выпуска, присвоенного международным или национальным рейтинговым </w:t>
      </w:r>
      <w:r w:rsidRPr="00E33760">
        <w:rPr>
          <w:rFonts w:ascii="Times New Roman" w:hAnsi="Times New Roman" w:cs="Times New Roman"/>
          <w:sz w:val="24"/>
          <w:szCs w:val="24"/>
        </w:rPr>
        <w:lastRenderedPageBreak/>
        <w:t>агентством, указанным в Таблице 1, медианное значение кредитного спреда рассчитывается:</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E33760">
        <w:rPr>
          <w:rStyle w:val="af4"/>
          <w:rFonts w:ascii="Times New Roman" w:hAnsi="Times New Roman" w:cs="Times New Roman"/>
          <w:sz w:val="24"/>
          <w:szCs w:val="24"/>
        </w:rPr>
        <w:footnoteReference w:id="23"/>
      </w:r>
      <w:r w:rsidRPr="00E33760">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701DDB" w:rsidRPr="00E33760" w:rsidRDefault="00701DDB" w:rsidP="00701DDB">
      <w:pPr>
        <w:pStyle w:val="ac"/>
        <w:tabs>
          <w:tab w:val="left" w:pos="1134"/>
        </w:tabs>
        <w:spacing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701DDB" w:rsidRPr="00E33760" w:rsidRDefault="00701DDB" w:rsidP="00701DDB">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(18)</m:t>
          </m:r>
        </m:oMath>
      </m:oMathPara>
    </w:p>
    <w:p w:rsidR="00701DDB" w:rsidRPr="00E33760" w:rsidRDefault="00701DDB" w:rsidP="00701DDB">
      <w:pPr>
        <w:spacing w:line="312" w:lineRule="auto"/>
        <w:ind w:left="708" w:firstLine="708"/>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6F2789" w:rsidP="00701DDB">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701DDB"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701DDB" w:rsidRPr="00E33760" w:rsidRDefault="00701DDB" w:rsidP="00701DDB">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701DDB" w:rsidRPr="00E33760" w:rsidRDefault="00701DDB" w:rsidP="00701DDB">
      <w:pPr>
        <w:spacing w:after="0" w:line="312" w:lineRule="auto"/>
        <w:ind w:left="2269" w:hanging="851"/>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порядковый номер периода (года) наблюдения, принадлежащий множеству N;</w:t>
      </w:r>
    </w:p>
    <w:p w:rsidR="00701DDB" w:rsidRPr="00E33760" w:rsidRDefault="00701DDB" w:rsidP="00701DDB">
      <w:pPr>
        <w:spacing w:line="312" w:lineRule="auto"/>
        <w:ind w:left="2268" w:hanging="850"/>
        <w:jc w:val="both"/>
        <w:rPr>
          <w:rFonts w:ascii="Times New Roman" w:hAnsi="Times New Roman" w:cs="Times New Roman"/>
          <w:sz w:val="24"/>
          <w:szCs w:val="24"/>
        </w:rPr>
      </w:pPr>
      <w:r w:rsidRPr="00E33760">
        <w:rPr>
          <w:rFonts w:ascii="Times New Roman" w:hAnsi="Times New Roman" w:cs="Times New Roman"/>
          <w:i/>
          <w:sz w:val="24"/>
          <w:szCs w:val="24"/>
        </w:rPr>
        <w:lastRenderedPageBreak/>
        <w:t>N</w:t>
      </w:r>
      <w:r w:rsidRPr="00E33760">
        <w:rPr>
          <w:rFonts w:ascii="Times New Roman" w:hAnsi="Times New Roman" w:cs="Times New Roman"/>
          <w:sz w:val="24"/>
          <w:szCs w:val="24"/>
        </w:rPr>
        <w:tab/>
        <w:t>- количество периодов наблюдения, лет.</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Результат расчета </w:t>
      </w:r>
      <w:r w:rsidRPr="00E33760">
        <w:rPr>
          <w:rFonts w:ascii="Times New Roman" w:hAnsi="Times New Roman" w:cs="Times New Roman"/>
          <w:sz w:val="24"/>
          <w:szCs w:val="24"/>
          <w:lang w:val="en-US"/>
        </w:rPr>
        <w:t>FD</w:t>
      </w:r>
      <w:r w:rsidRPr="00E33760">
        <w:rPr>
          <w:rFonts w:ascii="Times New Roman" w:hAnsi="Times New Roman" w:cs="Times New Roman"/>
          <w:sz w:val="24"/>
          <w:szCs w:val="24"/>
        </w:rPr>
        <w:t xml:space="preserve"> округляется по правилам математического округления до целого значения.</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диапазона кредитных спредов для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I-ей рейтинговой группы устанавливается равной медианному значению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I-ой рейтинговой группы, так как доходность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I-ей рейтинговой группы не должна быть ниже средней доходности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-ой рейтинговой группы;</w:t>
      </w:r>
    </w:p>
    <w:p w:rsidR="00701DDB" w:rsidRPr="00E33760" w:rsidRDefault="00701DDB" w:rsidP="00361203">
      <w:pPr>
        <w:numPr>
          <w:ilvl w:val="0"/>
          <w:numId w:val="60"/>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701DDB" w:rsidRPr="00E33760" w:rsidRDefault="00701DDB" w:rsidP="00701DDB">
      <w:pPr>
        <w:spacing w:after="0" w:line="312" w:lineRule="auto"/>
        <w:ind w:left="708"/>
        <w:jc w:val="both"/>
        <w:rPr>
          <w:rFonts w:ascii="Times New Roman" w:hAnsi="Times New Roman" w:cs="Times New Roman"/>
          <w:b/>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(минимального</w:t>
      </w:r>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значения кредитного спреда - </w:t>
      </w:r>
      <w:r w:rsidRPr="00E33760">
        <w:rPr>
          <w:rFonts w:ascii="Times New Roman" w:hAnsi="Times New Roman" w:cs="Times New Roman"/>
          <w:sz w:val="24"/>
          <w:szCs w:val="24"/>
          <w:lang w:val="en-US"/>
        </w:rPr>
        <w:t>Min</w:t>
      </w:r>
      <w:r w:rsidRPr="00E33760">
        <w:rPr>
          <w:rFonts w:ascii="Times New Roman" w:hAnsi="Times New Roman" w:cs="Times New Roman"/>
          <w:sz w:val="24"/>
          <w:szCs w:val="24"/>
        </w:rPr>
        <w:t xml:space="preserve">(α), максимального значения кредитного спреда - </w:t>
      </w:r>
      <w:r w:rsidRPr="00E33760">
        <w:rPr>
          <w:rFonts w:ascii="Times New Roman" w:hAnsi="Times New Roman" w:cs="Times New Roman"/>
          <w:sz w:val="24"/>
          <w:szCs w:val="24"/>
          <w:lang w:val="en-US"/>
        </w:rPr>
        <w:t>Max</w:t>
      </w:r>
      <w:r w:rsidRPr="00E33760">
        <w:rPr>
          <w:rFonts w:ascii="Times New Roman" w:hAnsi="Times New Roman" w:cs="Times New Roman"/>
          <w:sz w:val="24"/>
          <w:szCs w:val="24"/>
        </w:rPr>
        <w:t xml:space="preserve"> (β)) выполняется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Итоговые диапазоны кредитных спредов приведены в Таблице 2.</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для IV рейтинговой группы не выполняется.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b/>
          <w:sz w:val="24"/>
          <w:szCs w:val="24"/>
        </w:rPr>
      </w:pPr>
      <w:r w:rsidRPr="00E33760">
        <w:rPr>
          <w:rFonts w:ascii="Times New Roman" w:hAnsi="Times New Roman" w:cs="Times New Roman"/>
          <w:b/>
          <w:sz w:val="24"/>
          <w:szCs w:val="24"/>
        </w:rPr>
        <w:t>Таблица 2. Диапазон кредитных спредов рейтинговых групп.</w:t>
      </w:r>
    </w:p>
    <w:p w:rsidR="00701DDB" w:rsidRPr="00E33760" w:rsidRDefault="00701DDB" w:rsidP="00701DDB">
      <w:pPr>
        <w:spacing w:after="0" w:line="312" w:lineRule="auto"/>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7"/>
      </w:tblGrid>
      <w:tr w:rsidR="00701DDB" w:rsidRPr="00E33760" w:rsidTr="00B764D2">
        <w:trPr>
          <w:trHeight w:val="284"/>
        </w:trPr>
        <w:tc>
          <w:tcPr>
            <w:tcW w:w="9571" w:type="dxa"/>
            <w:gridSpan w:val="3"/>
            <w:shd w:val="clear" w:color="auto" w:fill="BFBFBF" w:themeFill="background1" w:themeFillShade="BF"/>
          </w:tcPr>
          <w:p w:rsidR="00701DDB" w:rsidRPr="00E33760" w:rsidRDefault="00701DDB" w:rsidP="00B764D2">
            <w:pPr>
              <w:tabs>
                <w:tab w:val="left" w:pos="567"/>
              </w:tabs>
              <w:spacing w:line="312" w:lineRule="auto"/>
              <w:contextualSpacing/>
              <w:jc w:val="center"/>
              <w:rPr>
                <w:rFonts w:ascii="Times New Roman" w:hAnsi="Times New Roman" w:cs="Times New Roman"/>
                <w:sz w:val="24"/>
                <w:szCs w:val="24"/>
              </w:rPr>
            </w:pPr>
            <w:r w:rsidRPr="00E33760">
              <w:rPr>
                <w:rFonts w:ascii="Times New Roman" w:hAnsi="Times New Roman" w:cs="Times New Roman"/>
                <w:sz w:val="24"/>
                <w:szCs w:val="24"/>
              </w:rPr>
              <w:t xml:space="preserve">Диапазон кредитных </w:t>
            </w:r>
            <w:r w:rsidRPr="00E33760">
              <w:rPr>
                <w:rFonts w:ascii="Times New Roman" w:hAnsi="Times New Roman" w:cs="Times New Roman"/>
                <w:b/>
                <w:sz w:val="24"/>
                <w:szCs w:val="24"/>
              </w:rPr>
              <w:t>спредов</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lastRenderedPageBreak/>
              <w:t>Min (α)</w:t>
            </w:r>
          </w:p>
        </w:tc>
        <w:tc>
          <w:tcPr>
            <w:tcW w:w="2835"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Медиана</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Max (β)</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lang w:val="en-US"/>
              </w:rPr>
              <w:t xml:space="preserve">0 </w:t>
            </w:r>
            <w:r w:rsidRPr="00E33760">
              <w:rPr>
                <w:rFonts w:ascii="Times New Roman" w:hAnsi="Times New Roman" w:cs="Times New Roman"/>
                <w:sz w:val="24"/>
                <w:szCs w:val="24"/>
              </w:rPr>
              <w:t>+ премия</w:t>
            </w:r>
          </w:p>
        </w:tc>
        <w:tc>
          <w:tcPr>
            <w:tcW w:w="2835" w:type="dxa"/>
          </w:tcPr>
          <w:p w:rsidR="00701DDB" w:rsidRPr="00E33760" w:rsidRDefault="006F278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6F278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lang w:val="en-US"/>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w:t>
            </w:r>
          </w:p>
        </w:tc>
      </w:tr>
      <w:tr w:rsidR="00701DDB" w:rsidRPr="00E33760" w:rsidTr="00B764D2">
        <w:trPr>
          <w:trHeight w:val="284"/>
        </w:trPr>
        <w:tc>
          <w:tcPr>
            <w:tcW w:w="3369" w:type="dxa"/>
          </w:tcPr>
          <w:p w:rsidR="00701DDB" w:rsidRPr="00E33760" w:rsidRDefault="006F278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6F278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II</w:t>
            </w:r>
          </w:p>
        </w:tc>
      </w:tr>
      <w:tr w:rsidR="00701DDB" w:rsidRPr="00E33760" w:rsidTr="00B764D2">
        <w:trPr>
          <w:trHeight w:val="284"/>
        </w:trPr>
        <w:tc>
          <w:tcPr>
            <w:tcW w:w="3369" w:type="dxa"/>
          </w:tcPr>
          <w:p w:rsidR="00701DDB" w:rsidRPr="00E33760" w:rsidRDefault="006F278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6F278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bl>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ind w:left="567"/>
        <w:contextualSpacing/>
        <w:jc w:val="both"/>
        <w:rPr>
          <w:rFonts w:ascii="Times New Roman" w:hAnsi="Times New Roman" w:cs="Times New Roman"/>
          <w:i/>
          <w:sz w:val="24"/>
          <w:szCs w:val="24"/>
        </w:rPr>
      </w:pPr>
    </w:p>
    <w:p w:rsidR="00701DDB" w:rsidRPr="00E33760" w:rsidRDefault="00701DDB" w:rsidP="00701DDB">
      <w:pPr>
        <w:spacing w:after="0" w:line="312" w:lineRule="auto"/>
        <w:ind w:left="567"/>
        <w:contextualSpacing/>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w:t>
      </w:r>
    </w:p>
    <w:p w:rsidR="00701DDB" w:rsidRPr="00E33760" w:rsidRDefault="00701DDB" w:rsidP="00701DDB">
      <w:pPr>
        <w:spacing w:after="0" w:line="312" w:lineRule="auto"/>
        <w:ind w:left="567"/>
        <w:contextualSpacing/>
        <w:jc w:val="both"/>
        <w:rPr>
          <w:rFonts w:ascii="Times New Roman" w:hAnsi="Times New Roman" w:cs="Times New Roman"/>
          <w:b/>
          <w:sz w:val="24"/>
          <w:szCs w:val="24"/>
        </w:rPr>
      </w:pPr>
      <w:r w:rsidRPr="00E33760">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bCs/>
          <w:iCs/>
          <w:smallCaps/>
          <w:sz w:val="24"/>
          <w:szCs w:val="24"/>
        </w:rPr>
      </w:pPr>
    </w:p>
    <w:p w:rsidR="00701DDB" w:rsidRPr="00E33760" w:rsidRDefault="00701DDB" w:rsidP="00701DDB">
      <w:pPr>
        <w:rPr>
          <w:rFonts w:ascii="Times New Roman" w:hAnsi="Times New Roman" w:cs="Times New Roman"/>
          <w:b/>
          <w:bCs/>
          <w:iCs/>
          <w:smallCaps/>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1072B8" w:rsidRPr="00E33760" w:rsidRDefault="001072B8" w:rsidP="00701DDB">
      <w:pPr>
        <w:spacing w:after="0" w:line="360" w:lineRule="auto"/>
        <w:ind w:firstLine="426"/>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89" w:rsidRDefault="006F2789" w:rsidP="0095677F">
      <w:pPr>
        <w:spacing w:after="0" w:line="240" w:lineRule="auto"/>
      </w:pPr>
      <w:r>
        <w:separator/>
      </w:r>
    </w:p>
  </w:endnote>
  <w:endnote w:type="continuationSeparator" w:id="0">
    <w:p w:rsidR="006F2789" w:rsidRDefault="006F278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7A" w:rsidRDefault="0080307A">
    <w:pPr>
      <w:pStyle w:val="afc"/>
      <w:jc w:val="right"/>
    </w:pPr>
    <w:r>
      <w:fldChar w:fldCharType="begin"/>
    </w:r>
    <w:r>
      <w:instrText xml:space="preserve"> PAGE   \* MERGEFORMAT </w:instrText>
    </w:r>
    <w:r>
      <w:fldChar w:fldCharType="separate"/>
    </w:r>
    <w:r w:rsidR="00372C05">
      <w:rPr>
        <w:noProof/>
      </w:rPr>
      <w:t>1</w:t>
    </w:r>
    <w:r>
      <w:rPr>
        <w:noProof/>
      </w:rPr>
      <w:fldChar w:fldCharType="end"/>
    </w:r>
  </w:p>
  <w:p w:rsidR="0080307A" w:rsidRDefault="0080307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89" w:rsidRDefault="006F2789" w:rsidP="0095677F">
      <w:pPr>
        <w:spacing w:after="0" w:line="240" w:lineRule="auto"/>
      </w:pPr>
      <w:r>
        <w:separator/>
      </w:r>
    </w:p>
  </w:footnote>
  <w:footnote w:type="continuationSeparator" w:id="0">
    <w:p w:rsidR="006F2789" w:rsidRDefault="006F2789" w:rsidP="0095677F">
      <w:pPr>
        <w:spacing w:after="0" w:line="240" w:lineRule="auto"/>
      </w:pPr>
      <w:r>
        <w:continuationSeparator/>
      </w:r>
    </w:p>
  </w:footnote>
  <w:footnote w:id="1">
    <w:p w:rsidR="0080307A" w:rsidRDefault="0080307A">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2">
    <w:p w:rsidR="0080307A" w:rsidRDefault="0080307A">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3">
    <w:p w:rsidR="0080307A" w:rsidRDefault="0080307A">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4">
    <w:p w:rsidR="0080307A" w:rsidRPr="00341704" w:rsidRDefault="0080307A" w:rsidP="00252EA8">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80307A" w:rsidRPr="00341704" w:rsidRDefault="0080307A" w:rsidP="00252EA8">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80307A" w:rsidRPr="004A14EE" w:rsidRDefault="0080307A" w:rsidP="00252EA8">
      <w:pPr>
        <w:pStyle w:val="af2"/>
        <w:rPr>
          <w:sz w:val="16"/>
        </w:rPr>
      </w:pPr>
      <w:r w:rsidRPr="004A14EE">
        <w:rPr>
          <w:rStyle w:val="af4"/>
          <w:sz w:val="16"/>
        </w:rPr>
        <w:footnoteRef/>
      </w:r>
      <w:r w:rsidRPr="004A14EE">
        <w:rPr>
          <w:sz w:val="16"/>
        </w:rPr>
        <w:t xml:space="preserve"> Кроме случаев </w:t>
      </w:r>
    </w:p>
    <w:p w:rsidR="0080307A" w:rsidRPr="004A14EE" w:rsidRDefault="0080307A" w:rsidP="00361203">
      <w:pPr>
        <w:pStyle w:val="af2"/>
        <w:numPr>
          <w:ilvl w:val="0"/>
          <w:numId w:val="68"/>
        </w:numPr>
        <w:jc w:val="both"/>
        <w:rPr>
          <w:sz w:val="16"/>
        </w:rPr>
      </w:pPr>
      <w:r w:rsidRPr="004A14EE">
        <w:rPr>
          <w:sz w:val="16"/>
        </w:rPr>
        <w:t xml:space="preserve">наличия рыночных котировок по торгуемой задолженности контрагента/эмитента; </w:t>
      </w:r>
    </w:p>
    <w:p w:rsidR="0080307A" w:rsidRPr="00E2653F" w:rsidRDefault="0080307A" w:rsidP="00361203">
      <w:pPr>
        <w:pStyle w:val="af2"/>
        <w:numPr>
          <w:ilvl w:val="0"/>
          <w:numId w:val="68"/>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80307A" w:rsidRDefault="0080307A" w:rsidP="00252EA8">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80307A" w:rsidRPr="00FE2BB4" w:rsidRDefault="0080307A" w:rsidP="00252EA8">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80307A" w:rsidRDefault="0080307A" w:rsidP="00252EA8">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80307A" w:rsidRDefault="0080307A" w:rsidP="00252EA8">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80307A" w:rsidRDefault="0080307A" w:rsidP="00252EA8">
      <w:pPr>
        <w:pStyle w:val="af2"/>
      </w:pPr>
      <w:r>
        <w:rPr>
          <w:rStyle w:val="af4"/>
        </w:rPr>
        <w:footnoteRef/>
      </w:r>
      <w:r>
        <w:t xml:space="preserve"> </w:t>
      </w:r>
      <w:r w:rsidRPr="006E7138">
        <w:t>https://ofd.nalog.ru/</w:t>
      </w:r>
    </w:p>
  </w:footnote>
  <w:footnote w:id="12">
    <w:p w:rsidR="0080307A" w:rsidRPr="00EA2976" w:rsidRDefault="0080307A" w:rsidP="00252EA8">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80307A" w:rsidRDefault="0080307A" w:rsidP="00252EA8">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80307A" w:rsidRPr="00AC2C21" w:rsidRDefault="0080307A" w:rsidP="00252EA8">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0307A" w:rsidRPr="00AC2C21" w:rsidRDefault="0080307A" w:rsidP="00252EA8">
      <w:pPr>
        <w:pStyle w:val="af2"/>
        <w:rPr>
          <w:sz w:val="16"/>
        </w:rPr>
      </w:pPr>
      <w:r w:rsidRPr="00AC2C21">
        <w:rPr>
          <w:sz w:val="16"/>
        </w:rPr>
        <w:t>LGD=1-RR,</w:t>
      </w:r>
    </w:p>
    <w:p w:rsidR="0080307A" w:rsidRPr="00AC2C21" w:rsidRDefault="0080307A" w:rsidP="00252EA8">
      <w:pPr>
        <w:pStyle w:val="af2"/>
        <w:rPr>
          <w:sz w:val="16"/>
        </w:rPr>
      </w:pPr>
      <w:r w:rsidRPr="00AC2C21">
        <w:rPr>
          <w:sz w:val="16"/>
        </w:rPr>
        <w:t>где:</w:t>
      </w:r>
    </w:p>
    <w:p w:rsidR="0080307A" w:rsidRDefault="0080307A" w:rsidP="00252EA8">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80307A" w:rsidRDefault="0080307A" w:rsidP="00252EA8">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80307A" w:rsidRDefault="0080307A" w:rsidP="00252EA8">
      <w:pPr>
        <w:pStyle w:val="af2"/>
      </w:pPr>
      <w:r>
        <w:rPr>
          <w:rStyle w:val="af4"/>
        </w:rPr>
        <w:footnoteRef/>
      </w:r>
      <w:r>
        <w:t xml:space="preserve"> Например, гостиницы, хостелы и т.п.</w:t>
      </w:r>
    </w:p>
  </w:footnote>
  <w:footnote w:id="17">
    <w:p w:rsidR="0080307A" w:rsidRPr="00D94BA7" w:rsidRDefault="0080307A"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80307A" w:rsidRPr="00D94BA7" w:rsidRDefault="0080307A"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0307A" w:rsidRPr="00D94BA7" w:rsidRDefault="0080307A"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80307A" w:rsidRPr="00D94BA7" w:rsidRDefault="0080307A"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0307A" w:rsidRPr="00D94BA7" w:rsidRDefault="0080307A"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0307A" w:rsidRDefault="0080307A"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80307A" w:rsidRPr="009E7E37" w:rsidRDefault="0080307A" w:rsidP="00701DDB">
      <w:pPr>
        <w:pStyle w:val="af2"/>
        <w:jc w:val="both"/>
        <w:rPr>
          <w:sz w:val="18"/>
        </w:rPr>
      </w:pPr>
      <w:r w:rsidRPr="009E7E37">
        <w:rPr>
          <w:rStyle w:val="af4"/>
          <w:sz w:val="18"/>
        </w:rPr>
        <w:footnoteRef/>
      </w:r>
      <w:r w:rsidRPr="009E7E37">
        <w:rPr>
          <w:sz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0">
    <w:p w:rsidR="0080307A" w:rsidRPr="001C019D" w:rsidRDefault="0080307A" w:rsidP="00701DDB">
      <w:pPr>
        <w:pStyle w:val="af2"/>
        <w:jc w:val="both"/>
        <w:rPr>
          <w:rFonts w:ascii="Times New Roman" w:hAnsi="Times New Roman"/>
        </w:rPr>
      </w:pPr>
      <w:r w:rsidRPr="009E7E37">
        <w:rPr>
          <w:rStyle w:val="af4"/>
          <w:sz w:val="18"/>
        </w:rPr>
        <w:footnoteRef/>
      </w:r>
      <w:r w:rsidRPr="009E7E37">
        <w:rPr>
          <w:sz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1">
    <w:p w:rsidR="0080307A" w:rsidRPr="009E7E37" w:rsidRDefault="0080307A" w:rsidP="00701DDB">
      <w:pPr>
        <w:pStyle w:val="af2"/>
      </w:pPr>
      <w:r w:rsidRPr="009E7E37">
        <w:rPr>
          <w:rStyle w:val="af4"/>
          <w:sz w:val="18"/>
        </w:rPr>
        <w:footnoteRef/>
      </w:r>
      <w:r w:rsidRPr="009E7E37">
        <w:rPr>
          <w:sz w:val="18"/>
        </w:rPr>
        <w:t xml:space="preserve"> Например, MAX (инфляция; ключевая ставка)</w:t>
      </w:r>
    </w:p>
  </w:footnote>
  <w:footnote w:id="22">
    <w:p w:rsidR="0080307A" w:rsidRPr="00CC7ADC" w:rsidRDefault="0080307A" w:rsidP="00701DDB">
      <w:pPr>
        <w:pStyle w:val="af2"/>
      </w:pPr>
      <w:r w:rsidRPr="009E7E37">
        <w:rPr>
          <w:rStyle w:val="af4"/>
          <w:sz w:val="18"/>
        </w:rPr>
        <w:footnoteRef/>
      </w:r>
      <w:r w:rsidRPr="009E7E37">
        <w:rPr>
          <w:sz w:val="18"/>
        </w:rPr>
        <w:t xml:space="preserve"> Используется кредитный рейтинг по шкале рейтингового агентства, соответствующей валюте основного долга  </w:t>
      </w:r>
    </w:p>
  </w:footnote>
  <w:footnote w:id="23">
    <w:p w:rsidR="0080307A" w:rsidRPr="009E7E37" w:rsidRDefault="0080307A" w:rsidP="00701DDB">
      <w:pPr>
        <w:pStyle w:val="af2"/>
        <w:jc w:val="both"/>
        <w:rPr>
          <w:sz w:val="18"/>
        </w:rPr>
      </w:pPr>
      <w:r w:rsidRPr="009E7E37">
        <w:rPr>
          <w:rStyle w:val="af4"/>
          <w:sz w:val="18"/>
        </w:rPr>
        <w:footnoteRef/>
      </w:r>
      <w:r w:rsidRPr="009E7E37">
        <w:rPr>
          <w:sz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80307A" w:rsidRDefault="0080307A" w:rsidP="00701DDB">
      <w:pPr>
        <w:pStyle w:val="af2"/>
        <w:jc w:val="both"/>
      </w:pPr>
      <w:r w:rsidRPr="009E7E37">
        <w:rPr>
          <w:sz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2">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5">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4">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7">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3">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6">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2">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79"/>
  </w:num>
  <w:num w:numId="4">
    <w:abstractNumId w:val="14"/>
  </w:num>
  <w:num w:numId="5">
    <w:abstractNumId w:val="22"/>
  </w:num>
  <w:num w:numId="6">
    <w:abstractNumId w:val="75"/>
  </w:num>
  <w:num w:numId="7">
    <w:abstractNumId w:val="71"/>
  </w:num>
  <w:num w:numId="8">
    <w:abstractNumId w:val="55"/>
  </w:num>
  <w:num w:numId="9">
    <w:abstractNumId w:val="47"/>
  </w:num>
  <w:num w:numId="10">
    <w:abstractNumId w:val="6"/>
  </w:num>
  <w:num w:numId="11">
    <w:abstractNumId w:val="16"/>
  </w:num>
  <w:num w:numId="12">
    <w:abstractNumId w:val="72"/>
  </w:num>
  <w:num w:numId="13">
    <w:abstractNumId w:val="73"/>
  </w:num>
  <w:num w:numId="14">
    <w:abstractNumId w:val="19"/>
  </w:num>
  <w:num w:numId="15">
    <w:abstractNumId w:val="48"/>
  </w:num>
  <w:num w:numId="16">
    <w:abstractNumId w:val="41"/>
  </w:num>
  <w:num w:numId="17">
    <w:abstractNumId w:val="52"/>
  </w:num>
  <w:num w:numId="18">
    <w:abstractNumId w:val="12"/>
  </w:num>
  <w:num w:numId="19">
    <w:abstractNumId w:val="80"/>
  </w:num>
  <w:num w:numId="20">
    <w:abstractNumId w:val="78"/>
  </w:num>
  <w:num w:numId="21">
    <w:abstractNumId w:val="9"/>
  </w:num>
  <w:num w:numId="22">
    <w:abstractNumId w:val="24"/>
  </w:num>
  <w:num w:numId="23">
    <w:abstractNumId w:val="49"/>
  </w:num>
  <w:num w:numId="24">
    <w:abstractNumId w:val="32"/>
  </w:num>
  <w:num w:numId="25">
    <w:abstractNumId w:val="59"/>
  </w:num>
  <w:num w:numId="26">
    <w:abstractNumId w:val="81"/>
  </w:num>
  <w:num w:numId="27">
    <w:abstractNumId w:val="45"/>
  </w:num>
  <w:num w:numId="28">
    <w:abstractNumId w:val="77"/>
  </w:num>
  <w:num w:numId="29">
    <w:abstractNumId w:val="8"/>
  </w:num>
  <w:num w:numId="30">
    <w:abstractNumId w:val="64"/>
  </w:num>
  <w:num w:numId="31">
    <w:abstractNumId w:val="56"/>
  </w:num>
  <w:num w:numId="32">
    <w:abstractNumId w:val="27"/>
  </w:num>
  <w:num w:numId="33">
    <w:abstractNumId w:val="69"/>
  </w:num>
  <w:num w:numId="34">
    <w:abstractNumId w:val="67"/>
  </w:num>
  <w:num w:numId="35">
    <w:abstractNumId w:val="35"/>
  </w:num>
  <w:num w:numId="36">
    <w:abstractNumId w:val="43"/>
  </w:num>
  <w:num w:numId="37">
    <w:abstractNumId w:val="10"/>
  </w:num>
  <w:num w:numId="38">
    <w:abstractNumId w:val="57"/>
  </w:num>
  <w:num w:numId="39">
    <w:abstractNumId w:val="70"/>
  </w:num>
  <w:num w:numId="40">
    <w:abstractNumId w:val="0"/>
  </w:num>
  <w:num w:numId="41">
    <w:abstractNumId w:val="31"/>
  </w:num>
  <w:num w:numId="42">
    <w:abstractNumId w:val="65"/>
  </w:num>
  <w:num w:numId="43">
    <w:abstractNumId w:val="13"/>
  </w:num>
  <w:num w:numId="44">
    <w:abstractNumId w:val="82"/>
  </w:num>
  <w:num w:numId="45">
    <w:abstractNumId w:val="46"/>
  </w:num>
  <w:num w:numId="46">
    <w:abstractNumId w:val="39"/>
  </w:num>
  <w:num w:numId="47">
    <w:abstractNumId w:val="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0"/>
  </w:num>
  <w:num w:numId="51">
    <w:abstractNumId w:val="34"/>
  </w:num>
  <w:num w:numId="52">
    <w:abstractNumId w:val="29"/>
  </w:num>
  <w:num w:numId="53">
    <w:abstractNumId w:val="3"/>
  </w:num>
  <w:num w:numId="54">
    <w:abstractNumId w:val="68"/>
  </w:num>
  <w:num w:numId="55">
    <w:abstractNumId w:val="30"/>
  </w:num>
  <w:num w:numId="56">
    <w:abstractNumId w:val="76"/>
  </w:num>
  <w:num w:numId="57">
    <w:abstractNumId w:val="50"/>
  </w:num>
  <w:num w:numId="58">
    <w:abstractNumId w:val="74"/>
  </w:num>
  <w:num w:numId="59">
    <w:abstractNumId w:val="42"/>
  </w:num>
  <w:num w:numId="60">
    <w:abstractNumId w:val="66"/>
  </w:num>
  <w:num w:numId="61">
    <w:abstractNumId w:val="1"/>
  </w:num>
  <w:num w:numId="62">
    <w:abstractNumId w:val="40"/>
  </w:num>
  <w:num w:numId="63">
    <w:abstractNumId w:val="54"/>
  </w:num>
  <w:num w:numId="64">
    <w:abstractNumId w:val="33"/>
  </w:num>
  <w:num w:numId="65">
    <w:abstractNumId w:val="44"/>
  </w:num>
  <w:num w:numId="66">
    <w:abstractNumId w:val="26"/>
  </w:num>
  <w:num w:numId="67">
    <w:abstractNumId w:val="83"/>
  </w:num>
  <w:num w:numId="68">
    <w:abstractNumId w:val="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7"/>
  </w:num>
  <w:num w:numId="72">
    <w:abstractNumId w:val="2"/>
  </w:num>
  <w:num w:numId="73">
    <w:abstractNumId w:val="62"/>
  </w:num>
  <w:num w:numId="74">
    <w:abstractNumId w:val="5"/>
  </w:num>
  <w:num w:numId="75">
    <w:abstractNumId w:val="23"/>
  </w:num>
  <w:num w:numId="76">
    <w:abstractNumId w:val="17"/>
  </w:num>
  <w:num w:numId="77">
    <w:abstractNumId w:val="4"/>
  </w:num>
  <w:num w:numId="78">
    <w:abstractNumId w:val="38"/>
  </w:num>
  <w:num w:numId="79">
    <w:abstractNumId w:val="11"/>
  </w:num>
  <w:num w:numId="80">
    <w:abstractNumId w:val="25"/>
  </w:num>
  <w:num w:numId="81">
    <w:abstractNumId w:val="36"/>
  </w:num>
  <w:num w:numId="82">
    <w:abstractNumId w:val="21"/>
  </w:num>
  <w:num w:numId="83">
    <w:abstractNumId w:val="63"/>
  </w:num>
  <w:num w:numId="84">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C09"/>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2C05"/>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500"/>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DA2"/>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B77"/>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789"/>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5D07"/>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07A"/>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61C"/>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0B"/>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384"/>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30C"/>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30A"/>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4D8EF-056C-47F1-BBF0-FDB82D6C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29104</Words>
  <Characters>165897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194612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4</cp:revision>
  <cp:lastPrinted>2015-12-21T07:18:00Z</cp:lastPrinted>
  <dcterms:created xsi:type="dcterms:W3CDTF">2021-06-22T10:55:00Z</dcterms:created>
  <dcterms:modified xsi:type="dcterms:W3CDTF">2021-06-23T06:15:00Z</dcterms:modified>
</cp:coreProperties>
</file>