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B7" w:rsidRPr="007E7B87" w:rsidRDefault="00807EB7" w:rsidP="00807EB7">
      <w:pPr>
        <w:jc w:val="both"/>
        <w:rPr>
          <w:rFonts w:ascii="Times New Roman" w:hAnsi="Times New Roman"/>
          <w:sz w:val="28"/>
          <w:szCs w:val="28"/>
        </w:rPr>
      </w:pPr>
      <w:r w:rsidRPr="007E7B87">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07EB7" w:rsidRPr="007E7B87" w:rsidRDefault="00807EB7" w:rsidP="00807EB7">
      <w:pPr>
        <w:jc w:val="both"/>
        <w:rPr>
          <w:rFonts w:ascii="Times New Roman" w:hAnsi="Times New Roman"/>
          <w:sz w:val="28"/>
          <w:szCs w:val="28"/>
        </w:rPr>
      </w:pPr>
      <w:r w:rsidRPr="007E7B87">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7E7B87">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«Ломбардный список» правила доверительного управления зарегистрированы Федеральной службой по финансовым рынкам 26.05.2011 г. в реестре за № 2139-94195694 (далее - Фонд). </w:t>
      </w:r>
    </w:p>
    <w:p w:rsidR="00807EB7" w:rsidRPr="00723523" w:rsidRDefault="00807EB7" w:rsidP="00807EB7">
      <w:pPr>
        <w:jc w:val="both"/>
      </w:pPr>
      <w:r w:rsidRPr="007E7B87">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Pr>
          <w:rFonts w:ascii="Times New Roman" w:hAnsi="Times New Roman"/>
          <w:sz w:val="28"/>
          <w:szCs w:val="28"/>
        </w:rPr>
        <w:t xml:space="preserve"> </w:t>
      </w:r>
      <w:r w:rsidRPr="007E7B87">
        <w:rPr>
          <w:rFonts w:ascii="Times New Roman" w:hAnsi="Times New Roman"/>
          <w:sz w:val="28"/>
          <w:szCs w:val="28"/>
        </w:rPr>
        <w:t>Екатеринбург, ул. 8 Марта, д. 51, офис 14 этаж, а также в сети Интернет по адресу www.invest-ural.ru и по телефону +7 (343) 264-72-60.</w:t>
      </w:r>
    </w:p>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p w:rsidR="00807EB7" w:rsidRDefault="00807EB7">
      <w:bookmarkStart w:id="0" w:name="_GoBack"/>
      <w:bookmarkEnd w:id="0"/>
    </w:p>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w:t>
            </w:r>
            <w:r w:rsidR="00AB1B9C">
              <w:rPr>
                <w:rFonts w:ascii="Times New Roman" w:eastAsia="Times New Roman" w:hAnsi="Times New Roman"/>
                <w:color w:val="000000"/>
                <w:sz w:val="24"/>
                <w:szCs w:val="24"/>
                <w:lang w:eastAsia="ar-SA"/>
              </w:rPr>
              <w:t>31</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00375D9F"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AB1B9C"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Ломбардный список</w:t>
      </w:r>
      <w:r w:rsidRPr="00816D84">
        <w:rPr>
          <w:rFonts w:ascii="Times New Roman" w:hAnsi="Times New Roman" w:cs="Times New Roman"/>
          <w:color w:val="000000"/>
          <w:sz w:val="24"/>
          <w:szCs w:val="24"/>
        </w:rPr>
        <w:t xml:space="preserve">» </w:t>
      </w:r>
      <w:r w:rsidR="00C31FA9"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0C0F39">
        <w:rPr>
          <w:rFonts w:ascii="Times New Roman" w:hAnsi="Times New Roman"/>
          <w:sz w:val="24"/>
          <w:szCs w:val="24"/>
        </w:rPr>
        <w:t>15 октября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AB1B9C" w:rsidRPr="00C31FA9" w:rsidRDefault="00C31FA9" w:rsidP="00AB1B9C">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AB1B9C" w:rsidRPr="00C31FA9">
        <w:rPr>
          <w:rFonts w:ascii="Times New Roman" w:hAnsi="Times New Roman"/>
          <w:snapToGrid w:val="0"/>
          <w:sz w:val="28"/>
          <w:szCs w:val="28"/>
        </w:rPr>
        <w:t>«</w:t>
      </w:r>
      <w:r w:rsidR="00AB1B9C" w:rsidRPr="001D22E2">
        <w:rPr>
          <w:rFonts w:ascii="Times New Roman" w:hAnsi="Times New Roman"/>
          <w:snapToGrid w:val="0"/>
          <w:sz w:val="28"/>
          <w:szCs w:val="28"/>
        </w:rPr>
        <w:t>Ломбардный список</w:t>
      </w:r>
      <w:r w:rsidR="00AB1B9C" w:rsidRPr="00C31FA9">
        <w:rPr>
          <w:rFonts w:ascii="Times New Roman" w:hAnsi="Times New Roman"/>
          <w:snapToGrid w:val="0"/>
          <w:sz w:val="28"/>
          <w:szCs w:val="28"/>
        </w:rPr>
        <w:t>»</w:t>
      </w:r>
    </w:p>
    <w:p w:rsidR="00C31FA9" w:rsidRPr="00C31FA9" w:rsidRDefault="00C31FA9" w:rsidP="00AB1B9C">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AB1B9C">
        <w:rPr>
          <w:rFonts w:ascii="Times New Roman" w:hAnsi="Times New Roman"/>
          <w:sz w:val="24"/>
          <w:szCs w:val="24"/>
        </w:rPr>
        <w:t>«</w:t>
      </w:r>
      <w:r w:rsidR="00AB1B9C" w:rsidRPr="001D22E2">
        <w:rPr>
          <w:rFonts w:ascii="Times New Roman" w:hAnsi="Times New Roman"/>
          <w:sz w:val="24"/>
          <w:szCs w:val="24"/>
        </w:rPr>
        <w:t>Ломбардный список</w:t>
      </w:r>
      <w:r w:rsidR="00AB1B9C"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«15» октября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58119062"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58119063"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58119064"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58119065"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58119066"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58119067"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58119068"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58119069"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58119070"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58119071"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58119072"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58119073"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58119074"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58119075"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58119076"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58119077"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58119078"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58119079"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58119080"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58119081"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58119082"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58119083"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58119084"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58119085"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58119086"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58119087"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58119088"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58119089"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58119090"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58119091"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58119092"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58119093"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58119094" r:id="rId71"/>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58119095" r:id="rId72"/>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58119096"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58119097"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58119098"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58119099"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58119100"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58119101"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58119102"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58119103"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58119104"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58119105"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также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0E4698"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0E4698"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0E4698"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0E4698"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0E4698"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0E4698"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0E4698"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0E4698"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0E4698"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0E4698"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0E4698"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0E4698"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0E4698"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0E4698"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0E4698"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 xml:space="preserve">Приложение А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(см.</w:t>
            </w:r>
            <w:hyperlink w:anchor="_Приложение_4._" w:history="1">
              <w:r w:rsidRPr="00FB4819">
                <w:rPr>
                  <w:rFonts w:ascii="Times New Roman" w:hAnsi="Times New Roman" w:cs="Times New Roman"/>
                  <w:sz w:val="24"/>
                  <w:szCs w:val="24"/>
                </w:rPr>
                <w:t>Приложение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(bid)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last,)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(px_last)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58119106"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58119107"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58119108"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58119109"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0E4698"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0E4698"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FA4440">
        <w:rPr>
          <w:rFonts w:eastAsia="Batang" w:cs="Times New Roman"/>
          <w:szCs w:val="24"/>
        </w:rPr>
        <w:t>;</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«Average cumulative issuer-weighted global default rates by alphanumeric rating» с 1998 года.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0E4698"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0E4698"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МосБиржи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Moody`s</w:t>
            </w:r>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Fitch</w:t>
            </w:r>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ruAAA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Ва1</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Ва2</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r>
              <w:rPr>
                <w:rFonts w:ascii="Times New Roman" w:eastAsia="Times New Roman" w:hAnsi="Times New Roman"/>
                <w:color w:val="000000"/>
                <w:sz w:val="24"/>
                <w:szCs w:val="24"/>
                <w:lang w:val="en-US"/>
              </w:rPr>
              <w:t>BBB|ru|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В1</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В2</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w:t>
            </w:r>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ruBB-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ruB</w:t>
            </w:r>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ruB</w:t>
            </w:r>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ruB-</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Ca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ruССС</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ruCC</w:t>
            </w:r>
            <w:r>
              <w:rPr>
                <w:rFonts w:ascii="Times New Roman" w:hAnsi="Times New Roman"/>
                <w:sz w:val="24"/>
                <w:szCs w:val="24"/>
              </w:rPr>
              <w:t xml:space="preserve"> и ниже (не включая 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D|ru|)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средств при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случае,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B46549" w:rsidRPr="00FC1BAC" w:rsidRDefault="000E4698"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0E4698"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0E4698"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B46549" w:rsidRPr="006270B2" w:rsidRDefault="000E4698"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0E4698"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0E4698"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0E4698"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0E4698"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0E4698"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0E4698"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0E4698"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0E4698"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0E4698"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0E4698"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0E4698"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0E4698"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0E4698"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0E4698"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0E4698"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0E4698"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0E4698"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0E4698"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0E4698"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0E4698"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0E4698"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r w:rsidRPr="00AE46C8">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«overnight»,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0E4698"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E4698"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E4698"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0E4698"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0E4698"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0E4698"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0E4698"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0E4698"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0E4698"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0E4698"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экспертное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 соответствии с настоящим регламентом кредитный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rPr>
              <w:t>ruAAA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 ruA-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ruBB</w:t>
            </w:r>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Более низкий рейтинг / рейтинг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Кредитный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медианного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
    <w:p w:rsidR="00807F7F" w:rsidRPr="00AE46C8" w:rsidRDefault="000E4698"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
    <w:p w:rsidR="00807F7F" w:rsidRPr="00AE46C8" w:rsidRDefault="000E4698"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
    <w:p w:rsidR="00807F7F" w:rsidRPr="00AE46C8" w:rsidRDefault="000E4698"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807F7F" w:rsidRPr="00AE46C8" w:rsidRDefault="000E4698"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0E4698"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0E4698"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0E4698"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0E4698"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0E4698"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0E4698"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диапазона кредитных спредов для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Итоговые диапазоны кредитных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кредитных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Min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Max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0E4698"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98" w:rsidRDefault="000E4698" w:rsidP="0095677F">
      <w:pPr>
        <w:spacing w:after="0" w:line="240" w:lineRule="auto"/>
      </w:pPr>
      <w:r>
        <w:separator/>
      </w:r>
    </w:p>
  </w:endnote>
  <w:endnote w:type="continuationSeparator" w:id="0">
    <w:p w:rsidR="000E4698" w:rsidRDefault="000E4698"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807EB7">
      <w:rPr>
        <w:noProof/>
      </w:rPr>
      <w:t>122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98" w:rsidRDefault="000E4698" w:rsidP="0095677F">
      <w:pPr>
        <w:spacing w:after="0" w:line="240" w:lineRule="auto"/>
      </w:pPr>
      <w:r>
        <w:separator/>
      </w:r>
    </w:p>
  </w:footnote>
  <w:footnote w:type="continuationSeparator" w:id="0">
    <w:p w:rsidR="000E4698" w:rsidRDefault="000E4698"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698"/>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EB7"/>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657"/>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B9C"/>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0C844-B790-428C-8384-79E9588F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122</Pages>
  <Words>33093</Words>
  <Characters>188631</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221282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31</cp:revision>
  <cp:lastPrinted>2015-12-21T07:18:00Z</cp:lastPrinted>
  <dcterms:created xsi:type="dcterms:W3CDTF">2021-06-22T10:53:00Z</dcterms:created>
  <dcterms:modified xsi:type="dcterms:W3CDTF">2023-10-06T12:26:00Z</dcterms:modified>
</cp:coreProperties>
</file>