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560"/>
        <w:gridCol w:w="783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0E0782C9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B257A5" w:rsidRPr="00B257A5">
              <w:rPr>
                <w:rFonts w:ascii="Verdana" w:hAnsi="Verdana"/>
                <w:b/>
                <w:sz w:val="18"/>
                <w:szCs w:val="18"/>
                <w:lang w:eastAsia="ru-RU"/>
              </w:rPr>
              <w:t>2</w:t>
            </w:r>
            <w:r w:rsidR="00AB7DF3" w:rsidRPr="00732C96">
              <w:rPr>
                <w:rFonts w:ascii="Verdana" w:hAnsi="Verdana"/>
                <w:b/>
                <w:sz w:val="18"/>
                <w:szCs w:val="18"/>
                <w:lang w:eastAsia="ru-RU"/>
              </w:rPr>
              <w:t>8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976D82" w:rsidRPr="00976D82">
              <w:rPr>
                <w:rFonts w:ascii="Verdana" w:hAnsi="Verdana"/>
                <w:b/>
                <w:sz w:val="18"/>
                <w:szCs w:val="18"/>
                <w:lang w:eastAsia="ru-RU"/>
              </w:rPr>
              <w:t>1</w:t>
            </w:r>
            <w:r w:rsidR="00AB7DF3" w:rsidRPr="00732C96">
              <w:rPr>
                <w:rFonts w:ascii="Verdana" w:hAnsi="Verdana"/>
                <w:b/>
                <w:sz w:val="18"/>
                <w:szCs w:val="18"/>
                <w:lang w:eastAsia="ru-RU"/>
              </w:rPr>
              <w:t>2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584117" w:rsidRPr="00584117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38C6B39A" w:rsidR="00FF0EDC" w:rsidRPr="00FF0EDC" w:rsidRDefault="009A2D8E" w:rsidP="009A2D8E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Базовые отрасли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645DB99B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F40F5C" w:rsidRPr="00F40F5C">
              <w:rPr>
                <w:rFonts w:ascii="Verdana" w:hAnsi="Verdana"/>
                <w:sz w:val="18"/>
                <w:szCs w:val="18"/>
                <w:lang w:eastAsia="ru-RU"/>
              </w:rPr>
              <w:t>https://invest-ural.ru/opif-akciy-bazovye-otrasli/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DB65B" w14:textId="1ADFDBBC" w:rsidR="00163DA0" w:rsidRDefault="00163DA0" w:rsidP="00163DA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 xml:space="preserve">нацелен на прирост инвестированного капитала за счет 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 xml:space="preserve">роста стоимости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57D9C7B4" w14:textId="77777777" w:rsidR="00163DA0" w:rsidRDefault="00163DA0" w:rsidP="00163DA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8CF2DF7" w14:textId="7BCB1B31" w:rsidR="00163DA0" w:rsidRPr="002C6C20" w:rsidRDefault="00163DA0" w:rsidP="00163DA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а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3B7A0600" w14:textId="1AB8D52A" w:rsidR="00FF0EDC" w:rsidRDefault="00163DA0" w:rsidP="00A81DD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ионного фонда инвестированы в </w:t>
            </w:r>
            <w:r w:rsidR="00B257A5" w:rsidRPr="00B257A5"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объект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>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5A3FCA6D" w:rsidR="00D103D0" w:rsidRPr="00276ED2" w:rsidRDefault="00D103D0" w:rsidP="00976D8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275317EB" w:rsidR="00FF0EDC" w:rsidRPr="00385D6B" w:rsidRDefault="00163DA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163DA0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B257A5">
        <w:trPr>
          <w:trHeight w:val="567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E7FC5" w14:textId="45E38283" w:rsidR="000F17EF" w:rsidRPr="00B257A5" w:rsidRDefault="00B257A5" w:rsidP="00D103D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85FEF" w14:textId="4412B953" w:rsidR="00FF0EDC" w:rsidRPr="00B257A5" w:rsidRDefault="00B257A5" w:rsidP="00976D8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2C3F3C" w:rsidRPr="00FF0EDC" w14:paraId="3A9FE09F" w14:textId="77777777" w:rsidTr="00B257A5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6AA2D" w14:textId="2449874A" w:rsidR="002C3F3C" w:rsidRPr="006F22CA" w:rsidRDefault="002C3F3C" w:rsidP="00976D8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B5385" w14:textId="74275735" w:rsidR="002C3F3C" w:rsidRPr="00BE0FCD" w:rsidRDefault="002C3F3C" w:rsidP="00976D8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00E05FE0" w:rsidR="0033474E" w:rsidRPr="00385D6B" w:rsidRDefault="00CB3ED4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</w:t>
            </w:r>
            <w:r w:rsidR="00FF0EDC" w:rsidRPr="006F22CA">
              <w:rPr>
                <w:rFonts w:ascii="Verdana" w:hAnsi="Verdana"/>
                <w:sz w:val="18"/>
                <w:szCs w:val="18"/>
                <w:lang w:eastAsia="ru-RU"/>
              </w:rPr>
              <w:t>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A24CF" w14:textId="77777777" w:rsidR="007B4193" w:rsidRDefault="007B419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14:paraId="63085568" w14:textId="65232E57" w:rsidR="000F2D12" w:rsidRPr="000F2D12" w:rsidRDefault="00FF0EDC" w:rsidP="00732C96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0F2D12" w:rsidRPr="00FF0EDC" w14:paraId="14007515" w14:textId="77777777" w:rsidTr="00DB379A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0F2D12" w:rsidRPr="00FF0EDC" w:rsidRDefault="000F2D12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54BFB66D" w:rsidR="000F2D12" w:rsidRPr="00FF0EDC" w:rsidRDefault="00DB379A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C6626A" wp14:editId="6DC93D3A">
                  <wp:extent cx="3147060" cy="1912620"/>
                  <wp:effectExtent l="0" t="0" r="15240" b="1143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0F2D12" w:rsidRPr="00FF0EDC" w:rsidRDefault="000F2D1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0F2D12" w:rsidRPr="00FF0EDC" w:rsidRDefault="000F2D1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E5C06F6" w14:textId="77777777" w:rsidR="000F2D12" w:rsidRPr="00FF0EDC" w:rsidRDefault="000F2D12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0F1A169D" w:rsidR="000F2D12" w:rsidRPr="00FF0EDC" w:rsidRDefault="00CB3ED4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</w:t>
            </w:r>
            <w:r w:rsidR="000F2D12" w:rsidRPr="00FF0EDC">
              <w:rPr>
                <w:rFonts w:ascii="Verdana" w:hAnsi="Verdana"/>
                <w:sz w:val="18"/>
                <w:szCs w:val="18"/>
                <w:lang w:eastAsia="ru-RU"/>
              </w:rPr>
              <w:t>нфляции</w:t>
            </w:r>
          </w:p>
        </w:tc>
      </w:tr>
      <w:tr w:rsidR="000F2D12" w:rsidRPr="00FF0EDC" w14:paraId="346D1F1D" w14:textId="77777777" w:rsidTr="000F2D12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19B8EC5D" w:rsidR="000F2D12" w:rsidRPr="00AE3411" w:rsidRDefault="00AE3411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4FAA7C0D" w:rsidR="000F2D12" w:rsidRPr="00AE3411" w:rsidRDefault="00AE3411" w:rsidP="00B15CA0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0F2D12" w:rsidRPr="00FF0EDC" w14:paraId="6B0930AA" w14:textId="77777777" w:rsidTr="000F2D12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1EB40622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66507A88" w:rsidR="000F2D12" w:rsidRPr="00AE3411" w:rsidRDefault="00AE3411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5A65DDE1" w:rsidR="000F2D12" w:rsidRPr="00AE3411" w:rsidRDefault="00AE3411" w:rsidP="00B15CA0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0F2D12" w:rsidRPr="00FF0EDC" w14:paraId="04AA3B9F" w14:textId="77777777" w:rsidTr="000F2D12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3879AFF0" w:rsidR="000F2D12" w:rsidRPr="00AE3411" w:rsidRDefault="00AE3411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10FDF4CE" w:rsidR="000F2D12" w:rsidRPr="00AE3411" w:rsidRDefault="00AE3411" w:rsidP="00B15CA0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0F2D12" w:rsidRPr="00FF0EDC" w14:paraId="5D6536E5" w14:textId="77777777" w:rsidTr="000F2D12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2F5F5FAF" w:rsidR="000F2D12" w:rsidRPr="00AE3411" w:rsidRDefault="00AE3411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79A5442C" w:rsidR="000F2D12" w:rsidRPr="00AE3411" w:rsidRDefault="00AE3411" w:rsidP="00B15CA0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0F2D12" w:rsidRPr="00FF0EDC" w14:paraId="1CA502F8" w14:textId="77777777" w:rsidTr="000F2D12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78E679B6" w:rsidR="000F2D12" w:rsidRPr="00AE3411" w:rsidRDefault="00AE3411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543534CF" w:rsidR="000F2D12" w:rsidRPr="00AE3411" w:rsidRDefault="00AE3411" w:rsidP="00B15CA0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0F2D12" w:rsidRPr="00FF0EDC" w14:paraId="5E8AE5C7" w14:textId="77777777" w:rsidTr="000F2D12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3CD843B6" w:rsidR="000F2D12" w:rsidRPr="00AE3411" w:rsidRDefault="00AE3411" w:rsidP="00B15CA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1837C789" w:rsidR="000F2D12" w:rsidRPr="00AE3411" w:rsidRDefault="00AE3411" w:rsidP="00B15CA0">
            <w:pPr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-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17277640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 xml:space="preserve">1. Расчетная стоимость инвестиционного пая </w:t>
            </w:r>
            <w:r w:rsidR="00AE3411" w:rsidRPr="00AE3411"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921004" w:rsidRPr="0092100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1CC448D2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AE3411" w:rsidRPr="00AE3411"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921004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FC426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157BD715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7CE033F7" w:rsidR="00FF0EDC" w:rsidRPr="00FF0EDC" w:rsidRDefault="009A2D8E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0A347A51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открытого паевого инвестиционного фонда рыночных финансовых инструментов  «Ломбардный список»,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ых инструментов «Активные инвестиции</w:t>
            </w:r>
            <w:r w:rsidR="008005E1">
              <w:rPr>
                <w:rFonts w:ascii="Verdana" w:hAnsi="Verdana"/>
                <w:sz w:val="18"/>
                <w:szCs w:val="18"/>
                <w:lang w:eastAsia="ru-RU"/>
              </w:rPr>
              <w:t>»</w:t>
            </w:r>
            <w:r w:rsidR="008005E1" w:rsidRPr="008005E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39FCB2C" w14:textId="1E2F9193" w:rsidR="00FF0EDC" w:rsidRPr="00FF0EDC" w:rsidRDefault="00FF0EDC" w:rsidP="00D103D0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ФСФР России 16 августа 2011 года за № </w:t>
            </w:r>
            <w:r w:rsidR="00F40F5C" w:rsidRPr="00F40F5C">
              <w:rPr>
                <w:rFonts w:ascii="Verdana" w:hAnsi="Verdana"/>
                <w:sz w:val="18"/>
                <w:szCs w:val="18"/>
                <w:lang w:eastAsia="ru-RU"/>
              </w:rPr>
              <w:t>2185-94196653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7777777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.09.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1B15D3BC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F40F5C" w:rsidRDefault="00FF0EDC">
      <w:pPr>
        <w:rPr>
          <w:sz w:val="2"/>
          <w:szCs w:val="2"/>
        </w:rPr>
      </w:pPr>
    </w:p>
    <w:sectPr w:rsidR="00FF0EDC" w:rsidRPr="00F40F5C" w:rsidSect="007B4193">
      <w:pgSz w:w="11906" w:h="16838"/>
      <w:pgMar w:top="567" w:right="567" w:bottom="709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70CCD" w14:textId="77777777" w:rsidR="00672C56" w:rsidRDefault="00672C56" w:rsidP="00AA0CB1">
      <w:r>
        <w:separator/>
      </w:r>
    </w:p>
  </w:endnote>
  <w:endnote w:type="continuationSeparator" w:id="0">
    <w:p w14:paraId="32DCF3DE" w14:textId="77777777" w:rsidR="00672C56" w:rsidRDefault="00672C56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D0DC3" w14:textId="77777777" w:rsidR="00672C56" w:rsidRDefault="00672C56" w:rsidP="00AA0CB1">
      <w:r>
        <w:separator/>
      </w:r>
    </w:p>
  </w:footnote>
  <w:footnote w:type="continuationSeparator" w:id="0">
    <w:p w14:paraId="15D5F293" w14:textId="77777777" w:rsidR="00672C56" w:rsidRDefault="00672C56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1E88"/>
    <w:rsid w:val="00002099"/>
    <w:rsid w:val="00002F6E"/>
    <w:rsid w:val="00013CFD"/>
    <w:rsid w:val="00017FF7"/>
    <w:rsid w:val="000241F7"/>
    <w:rsid w:val="000316CB"/>
    <w:rsid w:val="000336E3"/>
    <w:rsid w:val="000339BB"/>
    <w:rsid w:val="00037877"/>
    <w:rsid w:val="0004387E"/>
    <w:rsid w:val="000501E7"/>
    <w:rsid w:val="00054AC1"/>
    <w:rsid w:val="00054E0F"/>
    <w:rsid w:val="0005529D"/>
    <w:rsid w:val="00056E4A"/>
    <w:rsid w:val="000848D0"/>
    <w:rsid w:val="00087AF1"/>
    <w:rsid w:val="000A61FB"/>
    <w:rsid w:val="000C0390"/>
    <w:rsid w:val="000C0440"/>
    <w:rsid w:val="000C348B"/>
    <w:rsid w:val="000D71BB"/>
    <w:rsid w:val="000D72A5"/>
    <w:rsid w:val="000E0782"/>
    <w:rsid w:val="000F013C"/>
    <w:rsid w:val="000F0C7A"/>
    <w:rsid w:val="000F17EF"/>
    <w:rsid w:val="000F2D12"/>
    <w:rsid w:val="000F4CCC"/>
    <w:rsid w:val="00100140"/>
    <w:rsid w:val="00102A4B"/>
    <w:rsid w:val="00114AF9"/>
    <w:rsid w:val="00115AFA"/>
    <w:rsid w:val="00120600"/>
    <w:rsid w:val="001231AD"/>
    <w:rsid w:val="0012604D"/>
    <w:rsid w:val="00141242"/>
    <w:rsid w:val="00144F41"/>
    <w:rsid w:val="001469D5"/>
    <w:rsid w:val="00151F0D"/>
    <w:rsid w:val="00163DA0"/>
    <w:rsid w:val="001640DA"/>
    <w:rsid w:val="00165E74"/>
    <w:rsid w:val="0016690E"/>
    <w:rsid w:val="00177DA6"/>
    <w:rsid w:val="001918EC"/>
    <w:rsid w:val="00195066"/>
    <w:rsid w:val="00197022"/>
    <w:rsid w:val="001A042A"/>
    <w:rsid w:val="001A24EB"/>
    <w:rsid w:val="001A2B6C"/>
    <w:rsid w:val="001A44B4"/>
    <w:rsid w:val="001A525A"/>
    <w:rsid w:val="001A64EF"/>
    <w:rsid w:val="001B3B42"/>
    <w:rsid w:val="001B5935"/>
    <w:rsid w:val="001B67E4"/>
    <w:rsid w:val="001B7D4E"/>
    <w:rsid w:val="001C1EC3"/>
    <w:rsid w:val="001D07EB"/>
    <w:rsid w:val="001D243E"/>
    <w:rsid w:val="001E5F78"/>
    <w:rsid w:val="001F150E"/>
    <w:rsid w:val="001F5EFD"/>
    <w:rsid w:val="002010F8"/>
    <w:rsid w:val="00210139"/>
    <w:rsid w:val="0021177F"/>
    <w:rsid w:val="002118D5"/>
    <w:rsid w:val="00217699"/>
    <w:rsid w:val="00225F0C"/>
    <w:rsid w:val="00242E02"/>
    <w:rsid w:val="002505EC"/>
    <w:rsid w:val="00251D7F"/>
    <w:rsid w:val="002635CF"/>
    <w:rsid w:val="00264D8D"/>
    <w:rsid w:val="0027007A"/>
    <w:rsid w:val="00274CAA"/>
    <w:rsid w:val="00276ED2"/>
    <w:rsid w:val="002926F5"/>
    <w:rsid w:val="002A0698"/>
    <w:rsid w:val="002A6629"/>
    <w:rsid w:val="002B38BB"/>
    <w:rsid w:val="002B41E3"/>
    <w:rsid w:val="002B5811"/>
    <w:rsid w:val="002B669D"/>
    <w:rsid w:val="002B6A3D"/>
    <w:rsid w:val="002B7620"/>
    <w:rsid w:val="002C3F3C"/>
    <w:rsid w:val="002C6C20"/>
    <w:rsid w:val="002E5F56"/>
    <w:rsid w:val="002F37BE"/>
    <w:rsid w:val="002F7CE6"/>
    <w:rsid w:val="00301543"/>
    <w:rsid w:val="00312FB6"/>
    <w:rsid w:val="0033331F"/>
    <w:rsid w:val="0033474E"/>
    <w:rsid w:val="00334A7A"/>
    <w:rsid w:val="00342A98"/>
    <w:rsid w:val="00343E60"/>
    <w:rsid w:val="00347093"/>
    <w:rsid w:val="00353800"/>
    <w:rsid w:val="00357BC7"/>
    <w:rsid w:val="00362B7A"/>
    <w:rsid w:val="00374245"/>
    <w:rsid w:val="00374A6A"/>
    <w:rsid w:val="00385D6B"/>
    <w:rsid w:val="00394519"/>
    <w:rsid w:val="003A17F1"/>
    <w:rsid w:val="003A7935"/>
    <w:rsid w:val="003C0C88"/>
    <w:rsid w:val="003C1E20"/>
    <w:rsid w:val="003C29D0"/>
    <w:rsid w:val="003F5492"/>
    <w:rsid w:val="00401091"/>
    <w:rsid w:val="00405BE4"/>
    <w:rsid w:val="00405CD0"/>
    <w:rsid w:val="0042313D"/>
    <w:rsid w:val="004238BC"/>
    <w:rsid w:val="004324DB"/>
    <w:rsid w:val="004327AD"/>
    <w:rsid w:val="0043433F"/>
    <w:rsid w:val="00434BDF"/>
    <w:rsid w:val="00444A52"/>
    <w:rsid w:val="0045160D"/>
    <w:rsid w:val="0045175D"/>
    <w:rsid w:val="00451793"/>
    <w:rsid w:val="0045521F"/>
    <w:rsid w:val="004619A2"/>
    <w:rsid w:val="00470EE0"/>
    <w:rsid w:val="00474414"/>
    <w:rsid w:val="00480EBE"/>
    <w:rsid w:val="004907EC"/>
    <w:rsid w:val="004910F7"/>
    <w:rsid w:val="004A21D0"/>
    <w:rsid w:val="004A2BB5"/>
    <w:rsid w:val="004A5BAD"/>
    <w:rsid w:val="004A61DD"/>
    <w:rsid w:val="004B4097"/>
    <w:rsid w:val="004B575F"/>
    <w:rsid w:val="004B5E36"/>
    <w:rsid w:val="004D3280"/>
    <w:rsid w:val="004D35FC"/>
    <w:rsid w:val="004E0AC0"/>
    <w:rsid w:val="004E2ADC"/>
    <w:rsid w:val="004F5F06"/>
    <w:rsid w:val="004F6F7E"/>
    <w:rsid w:val="00506606"/>
    <w:rsid w:val="00527039"/>
    <w:rsid w:val="00534DC8"/>
    <w:rsid w:val="0053519E"/>
    <w:rsid w:val="0054394D"/>
    <w:rsid w:val="00546FEC"/>
    <w:rsid w:val="0055093A"/>
    <w:rsid w:val="00553F52"/>
    <w:rsid w:val="00561C2B"/>
    <w:rsid w:val="00566872"/>
    <w:rsid w:val="00571B13"/>
    <w:rsid w:val="0057650B"/>
    <w:rsid w:val="0058402E"/>
    <w:rsid w:val="00584117"/>
    <w:rsid w:val="00592ABD"/>
    <w:rsid w:val="005955D7"/>
    <w:rsid w:val="005976DD"/>
    <w:rsid w:val="005A3E50"/>
    <w:rsid w:val="005B52B7"/>
    <w:rsid w:val="005D14DD"/>
    <w:rsid w:val="005D46CB"/>
    <w:rsid w:val="005D49BF"/>
    <w:rsid w:val="005E14F5"/>
    <w:rsid w:val="005E23A3"/>
    <w:rsid w:val="005E5C57"/>
    <w:rsid w:val="005F1C1B"/>
    <w:rsid w:val="005F1D07"/>
    <w:rsid w:val="005F2DE5"/>
    <w:rsid w:val="005F43C9"/>
    <w:rsid w:val="005F7AE1"/>
    <w:rsid w:val="00617F2E"/>
    <w:rsid w:val="00621344"/>
    <w:rsid w:val="00621D81"/>
    <w:rsid w:val="00622B8E"/>
    <w:rsid w:val="006244FB"/>
    <w:rsid w:val="0062649C"/>
    <w:rsid w:val="00626B8C"/>
    <w:rsid w:val="00633187"/>
    <w:rsid w:val="00647E4B"/>
    <w:rsid w:val="00651073"/>
    <w:rsid w:val="006552FC"/>
    <w:rsid w:val="00657EC4"/>
    <w:rsid w:val="0066060B"/>
    <w:rsid w:val="00671D2B"/>
    <w:rsid w:val="00672C56"/>
    <w:rsid w:val="00676AAA"/>
    <w:rsid w:val="00677720"/>
    <w:rsid w:val="00682D01"/>
    <w:rsid w:val="00683D4B"/>
    <w:rsid w:val="00687AF1"/>
    <w:rsid w:val="0069077D"/>
    <w:rsid w:val="0069356E"/>
    <w:rsid w:val="00694097"/>
    <w:rsid w:val="006A11F1"/>
    <w:rsid w:val="006A6F26"/>
    <w:rsid w:val="006B6FF2"/>
    <w:rsid w:val="006C18F1"/>
    <w:rsid w:val="006C43BC"/>
    <w:rsid w:val="006C48D8"/>
    <w:rsid w:val="006D033B"/>
    <w:rsid w:val="006D6E24"/>
    <w:rsid w:val="006D7091"/>
    <w:rsid w:val="006E278E"/>
    <w:rsid w:val="006F10A6"/>
    <w:rsid w:val="006F1892"/>
    <w:rsid w:val="006F22CA"/>
    <w:rsid w:val="006F71FF"/>
    <w:rsid w:val="0070397D"/>
    <w:rsid w:val="007114F8"/>
    <w:rsid w:val="00715C38"/>
    <w:rsid w:val="00716F35"/>
    <w:rsid w:val="007213C2"/>
    <w:rsid w:val="00723734"/>
    <w:rsid w:val="007264CB"/>
    <w:rsid w:val="00732C96"/>
    <w:rsid w:val="00734A41"/>
    <w:rsid w:val="007378FB"/>
    <w:rsid w:val="00740026"/>
    <w:rsid w:val="007458A4"/>
    <w:rsid w:val="007472DE"/>
    <w:rsid w:val="007537A7"/>
    <w:rsid w:val="00756399"/>
    <w:rsid w:val="007762E1"/>
    <w:rsid w:val="00785492"/>
    <w:rsid w:val="00786557"/>
    <w:rsid w:val="007A51B1"/>
    <w:rsid w:val="007B4193"/>
    <w:rsid w:val="007C3876"/>
    <w:rsid w:val="007C5A62"/>
    <w:rsid w:val="007C6A90"/>
    <w:rsid w:val="007C7144"/>
    <w:rsid w:val="007D6274"/>
    <w:rsid w:val="007E0A2D"/>
    <w:rsid w:val="007E5CE0"/>
    <w:rsid w:val="007E619A"/>
    <w:rsid w:val="007E66E3"/>
    <w:rsid w:val="008005E1"/>
    <w:rsid w:val="00803373"/>
    <w:rsid w:val="00807FA4"/>
    <w:rsid w:val="00832600"/>
    <w:rsid w:val="00835446"/>
    <w:rsid w:val="0083714B"/>
    <w:rsid w:val="0084059D"/>
    <w:rsid w:val="00845782"/>
    <w:rsid w:val="00850B49"/>
    <w:rsid w:val="008510E0"/>
    <w:rsid w:val="00855A3E"/>
    <w:rsid w:val="00865313"/>
    <w:rsid w:val="00873094"/>
    <w:rsid w:val="00886956"/>
    <w:rsid w:val="00891A5B"/>
    <w:rsid w:val="00895A83"/>
    <w:rsid w:val="008A260A"/>
    <w:rsid w:val="008A27AE"/>
    <w:rsid w:val="008A62A4"/>
    <w:rsid w:val="008A7692"/>
    <w:rsid w:val="008A770D"/>
    <w:rsid w:val="008A7B9B"/>
    <w:rsid w:val="008B03F3"/>
    <w:rsid w:val="008B7FC1"/>
    <w:rsid w:val="008C21C6"/>
    <w:rsid w:val="008D2924"/>
    <w:rsid w:val="008D721B"/>
    <w:rsid w:val="008D7258"/>
    <w:rsid w:val="008E5B63"/>
    <w:rsid w:val="008E66E9"/>
    <w:rsid w:val="008E755B"/>
    <w:rsid w:val="008F3B36"/>
    <w:rsid w:val="00903657"/>
    <w:rsid w:val="00905207"/>
    <w:rsid w:val="00916DA0"/>
    <w:rsid w:val="00921004"/>
    <w:rsid w:val="009229EB"/>
    <w:rsid w:val="00926474"/>
    <w:rsid w:val="0093147F"/>
    <w:rsid w:val="00931B2E"/>
    <w:rsid w:val="00934BF8"/>
    <w:rsid w:val="009439BF"/>
    <w:rsid w:val="00950F42"/>
    <w:rsid w:val="00967473"/>
    <w:rsid w:val="009741CC"/>
    <w:rsid w:val="00976D82"/>
    <w:rsid w:val="00983268"/>
    <w:rsid w:val="0098328A"/>
    <w:rsid w:val="0099133E"/>
    <w:rsid w:val="009A2D8E"/>
    <w:rsid w:val="009A309B"/>
    <w:rsid w:val="009C2BFD"/>
    <w:rsid w:val="009C33DD"/>
    <w:rsid w:val="009D0F0C"/>
    <w:rsid w:val="009D1A7C"/>
    <w:rsid w:val="009F7CE8"/>
    <w:rsid w:val="00A03C8E"/>
    <w:rsid w:val="00A15644"/>
    <w:rsid w:val="00A32E36"/>
    <w:rsid w:val="00A336BE"/>
    <w:rsid w:val="00A37AD7"/>
    <w:rsid w:val="00A55325"/>
    <w:rsid w:val="00A661F0"/>
    <w:rsid w:val="00A675EA"/>
    <w:rsid w:val="00A70B52"/>
    <w:rsid w:val="00A77E9F"/>
    <w:rsid w:val="00A804FC"/>
    <w:rsid w:val="00A81DD1"/>
    <w:rsid w:val="00A8471A"/>
    <w:rsid w:val="00A8718B"/>
    <w:rsid w:val="00A927DF"/>
    <w:rsid w:val="00AA0CB1"/>
    <w:rsid w:val="00AB6DE8"/>
    <w:rsid w:val="00AB7DF3"/>
    <w:rsid w:val="00AC17D3"/>
    <w:rsid w:val="00AC4935"/>
    <w:rsid w:val="00AD374F"/>
    <w:rsid w:val="00AE3411"/>
    <w:rsid w:val="00AE4C95"/>
    <w:rsid w:val="00AE70AC"/>
    <w:rsid w:val="00AE77C5"/>
    <w:rsid w:val="00AF2456"/>
    <w:rsid w:val="00B021C4"/>
    <w:rsid w:val="00B14F0C"/>
    <w:rsid w:val="00B15CA0"/>
    <w:rsid w:val="00B22EA2"/>
    <w:rsid w:val="00B25546"/>
    <w:rsid w:val="00B257A5"/>
    <w:rsid w:val="00B36FE6"/>
    <w:rsid w:val="00B46D7D"/>
    <w:rsid w:val="00B71010"/>
    <w:rsid w:val="00B84841"/>
    <w:rsid w:val="00B86F2E"/>
    <w:rsid w:val="00B93E49"/>
    <w:rsid w:val="00BA208F"/>
    <w:rsid w:val="00BA7DCB"/>
    <w:rsid w:val="00BB3BEB"/>
    <w:rsid w:val="00BB548E"/>
    <w:rsid w:val="00BC248E"/>
    <w:rsid w:val="00BC3240"/>
    <w:rsid w:val="00BC458D"/>
    <w:rsid w:val="00BC77AA"/>
    <w:rsid w:val="00BD738C"/>
    <w:rsid w:val="00BE0242"/>
    <w:rsid w:val="00BE0FCD"/>
    <w:rsid w:val="00BE5D18"/>
    <w:rsid w:val="00BF4F9E"/>
    <w:rsid w:val="00BF7243"/>
    <w:rsid w:val="00C03F87"/>
    <w:rsid w:val="00C07610"/>
    <w:rsid w:val="00C12D7D"/>
    <w:rsid w:val="00C21D0B"/>
    <w:rsid w:val="00C22926"/>
    <w:rsid w:val="00C22FEC"/>
    <w:rsid w:val="00C2344D"/>
    <w:rsid w:val="00C23902"/>
    <w:rsid w:val="00C326B0"/>
    <w:rsid w:val="00C37F94"/>
    <w:rsid w:val="00C41515"/>
    <w:rsid w:val="00C41947"/>
    <w:rsid w:val="00C46422"/>
    <w:rsid w:val="00C4726C"/>
    <w:rsid w:val="00C522B1"/>
    <w:rsid w:val="00C70314"/>
    <w:rsid w:val="00C72BDA"/>
    <w:rsid w:val="00C77811"/>
    <w:rsid w:val="00C80F61"/>
    <w:rsid w:val="00C8373D"/>
    <w:rsid w:val="00C9019A"/>
    <w:rsid w:val="00C968B8"/>
    <w:rsid w:val="00CA059C"/>
    <w:rsid w:val="00CB264B"/>
    <w:rsid w:val="00CB3ED4"/>
    <w:rsid w:val="00CB60B7"/>
    <w:rsid w:val="00CD44F2"/>
    <w:rsid w:val="00CD56E9"/>
    <w:rsid w:val="00CE33D1"/>
    <w:rsid w:val="00CF3CDA"/>
    <w:rsid w:val="00D0058A"/>
    <w:rsid w:val="00D00C44"/>
    <w:rsid w:val="00D04E27"/>
    <w:rsid w:val="00D076D8"/>
    <w:rsid w:val="00D103D0"/>
    <w:rsid w:val="00D12821"/>
    <w:rsid w:val="00D135D3"/>
    <w:rsid w:val="00D13608"/>
    <w:rsid w:val="00D20111"/>
    <w:rsid w:val="00D22F6B"/>
    <w:rsid w:val="00D40F52"/>
    <w:rsid w:val="00D41025"/>
    <w:rsid w:val="00D50E03"/>
    <w:rsid w:val="00D52D78"/>
    <w:rsid w:val="00D549F5"/>
    <w:rsid w:val="00D609E1"/>
    <w:rsid w:val="00D61FB6"/>
    <w:rsid w:val="00D62A65"/>
    <w:rsid w:val="00D6558B"/>
    <w:rsid w:val="00D6736F"/>
    <w:rsid w:val="00D73DF1"/>
    <w:rsid w:val="00D73EB5"/>
    <w:rsid w:val="00D7591D"/>
    <w:rsid w:val="00D75B3E"/>
    <w:rsid w:val="00D76D2F"/>
    <w:rsid w:val="00D7770A"/>
    <w:rsid w:val="00D82ADD"/>
    <w:rsid w:val="00D82CD0"/>
    <w:rsid w:val="00D91833"/>
    <w:rsid w:val="00D932FE"/>
    <w:rsid w:val="00DB379A"/>
    <w:rsid w:val="00DB5E21"/>
    <w:rsid w:val="00DC06A6"/>
    <w:rsid w:val="00DC3875"/>
    <w:rsid w:val="00DD4F54"/>
    <w:rsid w:val="00DF0D65"/>
    <w:rsid w:val="00DF1489"/>
    <w:rsid w:val="00DF6037"/>
    <w:rsid w:val="00DF6E05"/>
    <w:rsid w:val="00E03DDA"/>
    <w:rsid w:val="00E11099"/>
    <w:rsid w:val="00E163D2"/>
    <w:rsid w:val="00E21654"/>
    <w:rsid w:val="00E269E6"/>
    <w:rsid w:val="00E27E30"/>
    <w:rsid w:val="00E3255E"/>
    <w:rsid w:val="00E32CC6"/>
    <w:rsid w:val="00E33791"/>
    <w:rsid w:val="00E4674D"/>
    <w:rsid w:val="00E520EE"/>
    <w:rsid w:val="00E53381"/>
    <w:rsid w:val="00E53626"/>
    <w:rsid w:val="00E54C92"/>
    <w:rsid w:val="00E616B7"/>
    <w:rsid w:val="00E62B21"/>
    <w:rsid w:val="00E655F9"/>
    <w:rsid w:val="00E81996"/>
    <w:rsid w:val="00E83453"/>
    <w:rsid w:val="00E8393F"/>
    <w:rsid w:val="00E92FD8"/>
    <w:rsid w:val="00E93524"/>
    <w:rsid w:val="00E93C3B"/>
    <w:rsid w:val="00E95825"/>
    <w:rsid w:val="00EA00C4"/>
    <w:rsid w:val="00EA2704"/>
    <w:rsid w:val="00EA511F"/>
    <w:rsid w:val="00EB53B7"/>
    <w:rsid w:val="00EB5AF7"/>
    <w:rsid w:val="00EC13E3"/>
    <w:rsid w:val="00ED1935"/>
    <w:rsid w:val="00ED2112"/>
    <w:rsid w:val="00ED373F"/>
    <w:rsid w:val="00EE27DC"/>
    <w:rsid w:val="00EE36C1"/>
    <w:rsid w:val="00EE5557"/>
    <w:rsid w:val="00EE6C48"/>
    <w:rsid w:val="00EF1D15"/>
    <w:rsid w:val="00EF608E"/>
    <w:rsid w:val="00EF6D4F"/>
    <w:rsid w:val="00EF780B"/>
    <w:rsid w:val="00F04D31"/>
    <w:rsid w:val="00F0725A"/>
    <w:rsid w:val="00F16377"/>
    <w:rsid w:val="00F177D4"/>
    <w:rsid w:val="00F21767"/>
    <w:rsid w:val="00F275E4"/>
    <w:rsid w:val="00F313BE"/>
    <w:rsid w:val="00F31517"/>
    <w:rsid w:val="00F3426C"/>
    <w:rsid w:val="00F351A4"/>
    <w:rsid w:val="00F40F5C"/>
    <w:rsid w:val="00F419D6"/>
    <w:rsid w:val="00F45175"/>
    <w:rsid w:val="00F5178F"/>
    <w:rsid w:val="00F5485B"/>
    <w:rsid w:val="00F54CF1"/>
    <w:rsid w:val="00F677BC"/>
    <w:rsid w:val="00F722C0"/>
    <w:rsid w:val="00F7419D"/>
    <w:rsid w:val="00F810CE"/>
    <w:rsid w:val="00F835FB"/>
    <w:rsid w:val="00F918EB"/>
    <w:rsid w:val="00F97CCB"/>
    <w:rsid w:val="00FA1FEC"/>
    <w:rsid w:val="00FB09A7"/>
    <w:rsid w:val="00FB1653"/>
    <w:rsid w:val="00FB4F9C"/>
    <w:rsid w:val="00FC0CFC"/>
    <w:rsid w:val="00FC28D5"/>
    <w:rsid w:val="00FC426C"/>
    <w:rsid w:val="00FE70F3"/>
    <w:rsid w:val="00FF0EDC"/>
    <w:rsid w:val="00FF22DD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7.8431372549019607E-3"/>
                  <c:y val="-8.6493679308050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БО_2025.xlsx]Лист1'!$A$6:$A$10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 БО_2025.xlsx]Лист1'!$B$6:$B$10</c:f>
              <c:numCache>
                <c:formatCode>General</c:formatCode>
                <c:ptCount val="5"/>
                <c:pt idx="0">
                  <c:v>6.64</c:v>
                </c:pt>
                <c:pt idx="1">
                  <c:v>6.66</c:v>
                </c:pt>
                <c:pt idx="2">
                  <c:v>-35.159999999999997</c:v>
                </c:pt>
                <c:pt idx="3">
                  <c:v>48.44</c:v>
                </c:pt>
                <c:pt idx="4">
                  <c:v>-100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410944"/>
        <c:axId val="107412480"/>
        <c:axId val="0"/>
      </c:bar3DChart>
      <c:catAx>
        <c:axId val="10741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412480"/>
        <c:crosses val="autoZero"/>
        <c:auto val="1"/>
        <c:lblAlgn val="ctr"/>
        <c:lblOffset val="100"/>
        <c:noMultiLvlLbl val="0"/>
      </c:catAx>
      <c:valAx>
        <c:axId val="10741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410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8071-1F0A-4198-94BB-60071316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21</cp:revision>
  <dcterms:created xsi:type="dcterms:W3CDTF">2024-08-05T05:57:00Z</dcterms:created>
  <dcterms:modified xsi:type="dcterms:W3CDTF">2025-01-15T09:42:00Z</dcterms:modified>
</cp:coreProperties>
</file>